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11EDD2" w14:textId="77777777" w:rsidR="0014037A" w:rsidRDefault="00746639">
      <w:pPr>
        <w:pStyle w:val="BodyText"/>
        <w:rPr>
          <w:rFonts w:ascii="Times New Roman"/>
        </w:rPr>
      </w:pPr>
      <w:r>
        <w:pict w14:anchorId="4B7A7678">
          <v:group id="_x0000_s2053" style="position:absolute;margin-left:-.5pt;margin-top:35.8pt;width:595.6pt;height:567.95pt;z-index:-15976960;mso-position-horizontal-relative:page;mso-position-vertical-relative:page" coordorigin="-10,716" coordsize="11912,11359">
            <v:shape id="_x0000_s2060"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left:5242;top:5292;width:6660;height:6280">
              <v:imagedata r:id="rId10" o:title=""/>
            </v:shape>
            <v:shape id="_x0000_s2058" style="position:absolute;left:1204;top:11026;width:3651;height:396" coordorigin="1204,11026" coordsize="3651,396" path="m4855,11026r-3402,l1204,11422r3401,l4855,11026xe" fillcolor="#004674" stroked="f">
              <v:path arrowok="t"/>
            </v:shape>
            <v:shape id="_x0000_s2057"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2056" style="position:absolute;left:2109;top:1661;width:587;height:1546" coordorigin="2109,1661" coordsize="587,1546" path="m2696,1661r-587,945l2109,3207r587,-945l2696,1661xe" fillcolor="#6c6d70" stroked="f">
              <v:path arrowok="t"/>
            </v:shape>
            <v:shape id="_x0000_s2055" style="position:absolute;left:2720;top:716;width:587;height:1246" coordorigin="2720,716" coordsize="587,1246" path="m2720,716r,601l3120,1962r187,-301l2720,716xe" fillcolor="#8dc53e" stroked="f">
              <v:path arrowok="t"/>
            </v:shape>
            <v:shape id="_x0000_s2054" style="position:absolute;left:2720;top:1661;width:587;height:1546" coordorigin="2720,1661" coordsize="587,1546" path="m3307,1661r-587,945l2720,3207r587,-945l3307,1661xe" fillcolor="#6c6d70" stroked="f">
              <v:path arrowok="t"/>
            </v:shape>
            <w10:wrap anchorx="page" anchory="page"/>
          </v:group>
        </w:pict>
      </w:r>
    </w:p>
    <w:p w14:paraId="68DD67D4" w14:textId="77777777" w:rsidR="0014037A" w:rsidRDefault="0014037A">
      <w:pPr>
        <w:pStyle w:val="BodyText"/>
        <w:rPr>
          <w:rFonts w:ascii="Times New Roman"/>
        </w:rPr>
      </w:pPr>
    </w:p>
    <w:p w14:paraId="10E5285B" w14:textId="77777777" w:rsidR="0014037A" w:rsidRDefault="0014037A">
      <w:pPr>
        <w:pStyle w:val="BodyText"/>
        <w:rPr>
          <w:rFonts w:ascii="Times New Roman"/>
        </w:rPr>
      </w:pPr>
    </w:p>
    <w:p w14:paraId="4249D398" w14:textId="77777777" w:rsidR="0014037A" w:rsidRDefault="0014037A">
      <w:pPr>
        <w:pStyle w:val="BodyText"/>
        <w:rPr>
          <w:rFonts w:ascii="Times New Roman"/>
        </w:rPr>
      </w:pPr>
    </w:p>
    <w:p w14:paraId="25475253" w14:textId="77777777" w:rsidR="0014037A" w:rsidRDefault="0014037A">
      <w:pPr>
        <w:pStyle w:val="BodyText"/>
        <w:rPr>
          <w:rFonts w:ascii="Times New Roman"/>
        </w:rPr>
      </w:pPr>
    </w:p>
    <w:p w14:paraId="3C2E0767" w14:textId="77777777" w:rsidR="0014037A" w:rsidRDefault="0014037A">
      <w:pPr>
        <w:pStyle w:val="BodyText"/>
        <w:rPr>
          <w:rFonts w:ascii="Times New Roman"/>
        </w:rPr>
      </w:pPr>
    </w:p>
    <w:p w14:paraId="4CDEDEAC" w14:textId="77777777" w:rsidR="0014037A" w:rsidRDefault="0014037A">
      <w:pPr>
        <w:pStyle w:val="BodyText"/>
        <w:rPr>
          <w:rFonts w:ascii="Times New Roman"/>
        </w:rPr>
      </w:pPr>
    </w:p>
    <w:p w14:paraId="1D1147AD" w14:textId="77777777" w:rsidR="0014037A" w:rsidRDefault="0014037A">
      <w:pPr>
        <w:pStyle w:val="BodyText"/>
        <w:rPr>
          <w:rFonts w:ascii="Times New Roman"/>
        </w:rPr>
      </w:pPr>
    </w:p>
    <w:p w14:paraId="3AF76D7F" w14:textId="77777777" w:rsidR="0014037A" w:rsidRDefault="0014037A">
      <w:pPr>
        <w:pStyle w:val="BodyText"/>
        <w:rPr>
          <w:rFonts w:ascii="Times New Roman"/>
        </w:rPr>
      </w:pPr>
    </w:p>
    <w:p w14:paraId="41307D13" w14:textId="77777777" w:rsidR="0014037A" w:rsidRDefault="0014037A">
      <w:pPr>
        <w:pStyle w:val="BodyText"/>
        <w:rPr>
          <w:rFonts w:ascii="Times New Roman"/>
        </w:rPr>
      </w:pPr>
    </w:p>
    <w:p w14:paraId="7C3B16DE" w14:textId="77777777" w:rsidR="0014037A" w:rsidRDefault="0014037A">
      <w:pPr>
        <w:pStyle w:val="BodyText"/>
        <w:rPr>
          <w:rFonts w:ascii="Times New Roman"/>
        </w:rPr>
      </w:pPr>
    </w:p>
    <w:p w14:paraId="01E9421B" w14:textId="77777777" w:rsidR="0014037A" w:rsidRDefault="00D34A99" w:rsidP="00A94C68">
      <w:pPr>
        <w:pStyle w:val="Title"/>
        <w:spacing w:before="222" w:line="264" w:lineRule="auto"/>
        <w:ind w:left="142" w:right="2652" w:firstLine="0"/>
      </w:pPr>
      <w:r>
        <w:rPr>
          <w:color w:val="57585B"/>
        </w:rPr>
        <w:t>Препоръка на Съвета относно използването на икономически инструменти</w:t>
      </w:r>
    </w:p>
    <w:p w14:paraId="6C99B83C" w14:textId="77777777" w:rsidR="0014037A" w:rsidRDefault="00D34A99" w:rsidP="00A94C68">
      <w:pPr>
        <w:pStyle w:val="Title"/>
        <w:ind w:left="851" w:hanging="709"/>
      </w:pPr>
      <w:r>
        <w:rPr>
          <w:color w:val="57585B"/>
        </w:rPr>
        <w:t>в Политиката по околната среда</w:t>
      </w:r>
    </w:p>
    <w:p w14:paraId="603DB901" w14:textId="77777777" w:rsidR="0014037A" w:rsidRDefault="0014037A">
      <w:pPr>
        <w:pStyle w:val="BodyText"/>
      </w:pPr>
    </w:p>
    <w:p w14:paraId="3AEF38CD" w14:textId="77777777" w:rsidR="0014037A" w:rsidRDefault="0014037A">
      <w:pPr>
        <w:pStyle w:val="BodyText"/>
      </w:pPr>
    </w:p>
    <w:p w14:paraId="0662D75C" w14:textId="77777777" w:rsidR="0014037A" w:rsidRDefault="0014037A">
      <w:pPr>
        <w:pStyle w:val="BodyText"/>
      </w:pPr>
    </w:p>
    <w:p w14:paraId="18EC9175" w14:textId="77777777" w:rsidR="0014037A" w:rsidRDefault="0014037A">
      <w:pPr>
        <w:pStyle w:val="BodyText"/>
      </w:pPr>
    </w:p>
    <w:p w14:paraId="4694EF59" w14:textId="77777777" w:rsidR="0014037A" w:rsidRDefault="0014037A">
      <w:pPr>
        <w:pStyle w:val="BodyText"/>
      </w:pPr>
    </w:p>
    <w:p w14:paraId="5AAF0BDD" w14:textId="77777777" w:rsidR="0014037A" w:rsidRDefault="0014037A">
      <w:pPr>
        <w:pStyle w:val="BodyText"/>
      </w:pPr>
    </w:p>
    <w:p w14:paraId="0866F1A8" w14:textId="77777777" w:rsidR="0014037A" w:rsidRDefault="0014037A">
      <w:pPr>
        <w:pStyle w:val="BodyText"/>
      </w:pPr>
    </w:p>
    <w:p w14:paraId="705181BC" w14:textId="77777777" w:rsidR="0014037A" w:rsidRDefault="0014037A">
      <w:pPr>
        <w:pStyle w:val="BodyText"/>
      </w:pPr>
    </w:p>
    <w:p w14:paraId="01EB02FC" w14:textId="77777777" w:rsidR="0014037A" w:rsidRDefault="0014037A">
      <w:pPr>
        <w:pStyle w:val="BodyText"/>
      </w:pPr>
    </w:p>
    <w:p w14:paraId="2FDE306D" w14:textId="77777777" w:rsidR="0014037A" w:rsidRDefault="0014037A">
      <w:pPr>
        <w:pStyle w:val="BodyText"/>
      </w:pPr>
    </w:p>
    <w:p w14:paraId="79F485E3" w14:textId="77777777" w:rsidR="0014037A" w:rsidRDefault="0014037A">
      <w:pPr>
        <w:pStyle w:val="BodyText"/>
      </w:pPr>
    </w:p>
    <w:p w14:paraId="34C14077" w14:textId="77777777" w:rsidR="0014037A" w:rsidRDefault="0014037A">
      <w:pPr>
        <w:pStyle w:val="BodyText"/>
      </w:pPr>
    </w:p>
    <w:p w14:paraId="74D2D764" w14:textId="77777777" w:rsidR="0014037A" w:rsidRDefault="0014037A">
      <w:pPr>
        <w:pStyle w:val="BodyText"/>
      </w:pPr>
    </w:p>
    <w:p w14:paraId="579E0014" w14:textId="77777777" w:rsidR="0014037A" w:rsidRDefault="0014037A">
      <w:pPr>
        <w:pStyle w:val="BodyText"/>
      </w:pPr>
    </w:p>
    <w:p w14:paraId="6375D6B5" w14:textId="77777777" w:rsidR="0014037A" w:rsidRDefault="0014037A">
      <w:pPr>
        <w:pStyle w:val="BodyText"/>
      </w:pPr>
    </w:p>
    <w:p w14:paraId="3ABAB69F" w14:textId="77777777" w:rsidR="0014037A" w:rsidRDefault="0014037A">
      <w:pPr>
        <w:pStyle w:val="BodyText"/>
      </w:pPr>
    </w:p>
    <w:p w14:paraId="27FCB593" w14:textId="77777777" w:rsidR="0014037A" w:rsidRDefault="0014037A">
      <w:pPr>
        <w:pStyle w:val="BodyText"/>
      </w:pPr>
    </w:p>
    <w:p w14:paraId="24CE8AA4" w14:textId="77777777" w:rsidR="0014037A" w:rsidRDefault="0014037A">
      <w:pPr>
        <w:pStyle w:val="BodyText"/>
      </w:pPr>
    </w:p>
    <w:p w14:paraId="22A97EEF" w14:textId="77777777" w:rsidR="0014037A" w:rsidRDefault="0014037A">
      <w:pPr>
        <w:pStyle w:val="BodyText"/>
      </w:pPr>
    </w:p>
    <w:p w14:paraId="5B7769FE" w14:textId="77777777" w:rsidR="0014037A" w:rsidRDefault="0014037A">
      <w:pPr>
        <w:pStyle w:val="BodyText"/>
      </w:pPr>
    </w:p>
    <w:p w14:paraId="0F2A26F1" w14:textId="77777777" w:rsidR="0014037A" w:rsidRDefault="0014037A">
      <w:pPr>
        <w:pStyle w:val="BodyText"/>
      </w:pPr>
    </w:p>
    <w:p w14:paraId="5F24B414" w14:textId="77777777" w:rsidR="0014037A" w:rsidRDefault="0014037A">
      <w:pPr>
        <w:pStyle w:val="BodyText"/>
      </w:pPr>
    </w:p>
    <w:p w14:paraId="1E1D5CE0" w14:textId="77777777" w:rsidR="0014037A" w:rsidRDefault="0014037A">
      <w:pPr>
        <w:pStyle w:val="BodyText"/>
      </w:pPr>
    </w:p>
    <w:p w14:paraId="6780CFA5" w14:textId="77777777" w:rsidR="0014037A" w:rsidRDefault="0014037A">
      <w:pPr>
        <w:pStyle w:val="BodyText"/>
      </w:pPr>
    </w:p>
    <w:p w14:paraId="53AAD7B7" w14:textId="77777777" w:rsidR="0014037A" w:rsidRDefault="0014037A">
      <w:pPr>
        <w:pStyle w:val="BodyText"/>
      </w:pPr>
    </w:p>
    <w:p w14:paraId="5C225B19" w14:textId="77777777" w:rsidR="0014037A" w:rsidRDefault="0014037A">
      <w:pPr>
        <w:pStyle w:val="BodyText"/>
      </w:pPr>
    </w:p>
    <w:p w14:paraId="2D0DC332" w14:textId="77777777" w:rsidR="0014037A" w:rsidRDefault="0014037A">
      <w:pPr>
        <w:pStyle w:val="BodyText"/>
      </w:pPr>
    </w:p>
    <w:p w14:paraId="04062B56" w14:textId="77777777" w:rsidR="0014037A" w:rsidRDefault="0014037A">
      <w:pPr>
        <w:pStyle w:val="BodyText"/>
        <w:spacing w:before="8"/>
        <w:rPr>
          <w:sz w:val="19"/>
        </w:rPr>
      </w:pPr>
    </w:p>
    <w:p w14:paraId="7BB9315E" w14:textId="77777777" w:rsidR="0014037A" w:rsidRDefault="00D34A99" w:rsidP="00A94C68">
      <w:pPr>
        <w:spacing w:before="142" w:line="204" w:lineRule="auto"/>
        <w:ind w:left="811" w:right="7088" w:hanging="669"/>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0AA7ED05" w14:textId="77777777" w:rsidR="0014037A" w:rsidRDefault="0014037A">
      <w:pPr>
        <w:pStyle w:val="BodyText"/>
        <w:rPr>
          <w:rFonts w:ascii="Arial Black"/>
        </w:rPr>
      </w:pPr>
    </w:p>
    <w:p w14:paraId="673C94AF" w14:textId="77777777" w:rsidR="0014037A" w:rsidRDefault="0014037A">
      <w:pPr>
        <w:pStyle w:val="BodyText"/>
        <w:rPr>
          <w:rFonts w:ascii="Arial Black"/>
        </w:rPr>
      </w:pPr>
    </w:p>
    <w:p w14:paraId="1A20DC70" w14:textId="77777777" w:rsidR="0014037A" w:rsidRDefault="0014037A">
      <w:pPr>
        <w:pStyle w:val="BodyText"/>
        <w:rPr>
          <w:rFonts w:ascii="Arial Black"/>
        </w:rPr>
      </w:pPr>
    </w:p>
    <w:p w14:paraId="79B56683" w14:textId="77777777" w:rsidR="0014037A" w:rsidRDefault="0014037A">
      <w:pPr>
        <w:pStyle w:val="BodyText"/>
        <w:rPr>
          <w:rFonts w:ascii="Arial Black"/>
        </w:rPr>
      </w:pPr>
    </w:p>
    <w:p w14:paraId="3F2AA7C6" w14:textId="77777777" w:rsidR="0014037A" w:rsidRDefault="0014037A">
      <w:pPr>
        <w:pStyle w:val="BodyText"/>
        <w:rPr>
          <w:rFonts w:ascii="Arial Black"/>
        </w:rPr>
      </w:pPr>
    </w:p>
    <w:p w14:paraId="008E7C06" w14:textId="77777777" w:rsidR="0014037A" w:rsidRDefault="0014037A">
      <w:pPr>
        <w:pStyle w:val="BodyText"/>
        <w:rPr>
          <w:rFonts w:ascii="Arial Black"/>
        </w:rPr>
      </w:pPr>
    </w:p>
    <w:p w14:paraId="7538B0E4" w14:textId="77777777" w:rsidR="0014037A" w:rsidRDefault="0014037A">
      <w:pPr>
        <w:pStyle w:val="BodyText"/>
        <w:rPr>
          <w:rFonts w:ascii="Arial Black"/>
        </w:rPr>
      </w:pPr>
    </w:p>
    <w:p w14:paraId="1AE71C4F" w14:textId="77777777" w:rsidR="0014037A" w:rsidRDefault="00D34A99">
      <w:pPr>
        <w:pStyle w:val="BodyText"/>
        <w:spacing w:before="7"/>
        <w:rPr>
          <w:rFonts w:ascii="Arial Black"/>
          <w:sz w:val="19"/>
        </w:rPr>
      </w:pPr>
      <w:r>
        <w:rPr>
          <w:noProof/>
        </w:rPr>
        <w:drawing>
          <wp:anchor distT="0" distB="0" distL="0" distR="0" simplePos="0" relativeHeight="251659264" behindDoc="0" locked="0" layoutInCell="1" allowOverlap="1" wp14:anchorId="341FB994" wp14:editId="401F3064">
            <wp:simplePos x="0" y="0"/>
            <wp:positionH relativeFrom="page">
              <wp:posOffset>5058409</wp:posOffset>
            </wp:positionH>
            <wp:positionV relativeFrom="paragraph">
              <wp:posOffset>199379</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2165036" cy="666750"/>
                    </a:xfrm>
                    <a:prstGeom prst="rect">
                      <a:avLst/>
                    </a:prstGeom>
                  </pic:spPr>
                </pic:pic>
              </a:graphicData>
            </a:graphic>
          </wp:anchor>
        </w:drawing>
      </w:r>
    </w:p>
    <w:p w14:paraId="2F35BCEB" w14:textId="77777777" w:rsidR="0014037A" w:rsidRDefault="0014037A">
      <w:pPr>
        <w:rPr>
          <w:rFonts w:ascii="Arial Black"/>
          <w:sz w:val="19"/>
        </w:rPr>
        <w:sectPr w:rsidR="0014037A">
          <w:type w:val="continuous"/>
          <w:pgSz w:w="11920" w:h="16850"/>
          <w:pgMar w:top="720" w:right="420" w:bottom="280" w:left="1680" w:header="720" w:footer="720" w:gutter="0"/>
          <w:cols w:space="720"/>
        </w:sectPr>
      </w:pPr>
    </w:p>
    <w:p w14:paraId="3B9D6261" w14:textId="77777777" w:rsidR="0014037A" w:rsidRDefault="0014037A">
      <w:pPr>
        <w:pStyle w:val="BodyText"/>
        <w:rPr>
          <w:rFonts w:ascii="Arial Black"/>
        </w:rPr>
      </w:pPr>
    </w:p>
    <w:p w14:paraId="1FD4095E" w14:textId="77777777" w:rsidR="0014037A" w:rsidRDefault="0014037A">
      <w:pPr>
        <w:pStyle w:val="BodyText"/>
        <w:rPr>
          <w:rFonts w:ascii="Arial Black"/>
        </w:rPr>
      </w:pPr>
    </w:p>
    <w:p w14:paraId="247824BB" w14:textId="77777777" w:rsidR="0014037A" w:rsidRDefault="0014037A">
      <w:pPr>
        <w:pStyle w:val="BodyText"/>
        <w:rPr>
          <w:rFonts w:ascii="Arial Black"/>
        </w:rPr>
      </w:pPr>
    </w:p>
    <w:p w14:paraId="3025DBA6" w14:textId="77777777" w:rsidR="0014037A" w:rsidRDefault="0014037A">
      <w:pPr>
        <w:pStyle w:val="BodyText"/>
        <w:rPr>
          <w:rFonts w:ascii="Arial Black"/>
        </w:rPr>
      </w:pPr>
    </w:p>
    <w:p w14:paraId="37682E3F" w14:textId="77777777" w:rsidR="0014037A" w:rsidRDefault="0014037A">
      <w:pPr>
        <w:pStyle w:val="BodyText"/>
        <w:rPr>
          <w:rFonts w:ascii="Arial Black"/>
        </w:rPr>
      </w:pPr>
    </w:p>
    <w:p w14:paraId="32C2F08B" w14:textId="77777777" w:rsidR="0014037A" w:rsidRDefault="0014037A">
      <w:pPr>
        <w:pStyle w:val="BodyText"/>
        <w:spacing w:before="1"/>
        <w:rPr>
          <w:rFonts w:ascii="Arial Black"/>
          <w:sz w:val="22"/>
        </w:rPr>
      </w:pPr>
    </w:p>
    <w:p w14:paraId="7B92CD2C" w14:textId="77777777" w:rsidR="0014037A" w:rsidRDefault="00D34A99">
      <w:pPr>
        <w:spacing w:before="94" w:line="242" w:lineRule="auto"/>
        <w:ind w:left="237" w:right="23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49D61888" w14:textId="77777777" w:rsidR="0014037A" w:rsidRDefault="0014037A">
      <w:pPr>
        <w:pStyle w:val="BodyText"/>
        <w:spacing w:before="10"/>
        <w:rPr>
          <w:sz w:val="15"/>
        </w:rPr>
      </w:pPr>
    </w:p>
    <w:p w14:paraId="3577E383" w14:textId="77777777" w:rsidR="0014037A" w:rsidRDefault="00D34A99">
      <w:pPr>
        <w:spacing w:line="242" w:lineRule="auto"/>
        <w:ind w:left="237" w:right="23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535FE4B7" w14:textId="77777777" w:rsidR="0014037A" w:rsidRDefault="0014037A">
      <w:pPr>
        <w:pStyle w:val="BodyText"/>
      </w:pPr>
    </w:p>
    <w:p w14:paraId="20D62F4D" w14:textId="77777777" w:rsidR="0014037A" w:rsidRDefault="0014037A">
      <w:pPr>
        <w:pStyle w:val="BodyText"/>
      </w:pPr>
    </w:p>
    <w:p w14:paraId="53E16940" w14:textId="77777777" w:rsidR="0014037A" w:rsidRDefault="0014037A">
      <w:pPr>
        <w:pStyle w:val="BodyText"/>
      </w:pPr>
    </w:p>
    <w:p w14:paraId="098F92A5" w14:textId="77777777" w:rsidR="0014037A" w:rsidRDefault="0014037A">
      <w:pPr>
        <w:pStyle w:val="BodyText"/>
      </w:pPr>
    </w:p>
    <w:p w14:paraId="63F987F9" w14:textId="77777777" w:rsidR="0014037A" w:rsidRDefault="0014037A">
      <w:pPr>
        <w:pStyle w:val="BodyText"/>
      </w:pPr>
    </w:p>
    <w:p w14:paraId="76E258F5" w14:textId="77777777" w:rsidR="0014037A" w:rsidRDefault="0014037A">
      <w:pPr>
        <w:pStyle w:val="BodyText"/>
      </w:pPr>
    </w:p>
    <w:p w14:paraId="647BB8B8" w14:textId="77777777" w:rsidR="0014037A" w:rsidRDefault="0014037A">
      <w:pPr>
        <w:pStyle w:val="BodyText"/>
      </w:pPr>
    </w:p>
    <w:p w14:paraId="796A65A6" w14:textId="77777777" w:rsidR="0014037A" w:rsidRDefault="0014037A">
      <w:pPr>
        <w:pStyle w:val="BodyText"/>
      </w:pPr>
    </w:p>
    <w:p w14:paraId="01CA8659" w14:textId="77777777" w:rsidR="0014037A" w:rsidRDefault="0014037A">
      <w:pPr>
        <w:pStyle w:val="BodyText"/>
      </w:pPr>
    </w:p>
    <w:p w14:paraId="5190AD51" w14:textId="77777777" w:rsidR="0014037A" w:rsidRDefault="0014037A">
      <w:pPr>
        <w:pStyle w:val="BodyText"/>
      </w:pPr>
    </w:p>
    <w:p w14:paraId="3655E3FB" w14:textId="77777777" w:rsidR="0014037A" w:rsidRDefault="0014037A">
      <w:pPr>
        <w:pStyle w:val="BodyText"/>
      </w:pPr>
    </w:p>
    <w:p w14:paraId="1817DFB7" w14:textId="77777777" w:rsidR="0014037A" w:rsidRDefault="0014037A">
      <w:pPr>
        <w:pStyle w:val="BodyText"/>
      </w:pPr>
    </w:p>
    <w:p w14:paraId="66EE268D" w14:textId="77777777" w:rsidR="0014037A" w:rsidRDefault="0014037A">
      <w:pPr>
        <w:pStyle w:val="BodyText"/>
      </w:pPr>
    </w:p>
    <w:p w14:paraId="5949DC78" w14:textId="77777777" w:rsidR="0014037A" w:rsidRDefault="0014037A">
      <w:pPr>
        <w:pStyle w:val="BodyText"/>
      </w:pPr>
    </w:p>
    <w:p w14:paraId="019BBAFE" w14:textId="77777777" w:rsidR="0014037A" w:rsidRDefault="0014037A">
      <w:pPr>
        <w:pStyle w:val="BodyText"/>
      </w:pPr>
    </w:p>
    <w:p w14:paraId="4E615C1E" w14:textId="77777777" w:rsidR="0014037A" w:rsidRDefault="0014037A">
      <w:pPr>
        <w:pStyle w:val="BodyText"/>
      </w:pPr>
    </w:p>
    <w:p w14:paraId="0817CD6F" w14:textId="77777777" w:rsidR="0014037A" w:rsidRDefault="0014037A">
      <w:pPr>
        <w:pStyle w:val="BodyText"/>
      </w:pPr>
    </w:p>
    <w:p w14:paraId="1430D4CC" w14:textId="77777777" w:rsidR="0014037A" w:rsidRDefault="0014037A">
      <w:pPr>
        <w:pStyle w:val="BodyText"/>
      </w:pPr>
    </w:p>
    <w:p w14:paraId="306055CD" w14:textId="77777777" w:rsidR="0014037A" w:rsidRDefault="0014037A">
      <w:pPr>
        <w:pStyle w:val="BodyText"/>
      </w:pPr>
    </w:p>
    <w:p w14:paraId="7AC85C15" w14:textId="77777777" w:rsidR="0014037A" w:rsidRDefault="0014037A">
      <w:pPr>
        <w:pStyle w:val="BodyText"/>
      </w:pPr>
    </w:p>
    <w:p w14:paraId="73817DD3" w14:textId="77777777" w:rsidR="0014037A" w:rsidRDefault="0014037A">
      <w:pPr>
        <w:pStyle w:val="BodyText"/>
      </w:pPr>
    </w:p>
    <w:p w14:paraId="49C4EC95" w14:textId="77777777" w:rsidR="0014037A" w:rsidRDefault="0014037A">
      <w:pPr>
        <w:pStyle w:val="BodyText"/>
      </w:pPr>
    </w:p>
    <w:p w14:paraId="22B4DD62" w14:textId="77777777" w:rsidR="0014037A" w:rsidRDefault="0014037A">
      <w:pPr>
        <w:pStyle w:val="BodyText"/>
      </w:pPr>
    </w:p>
    <w:p w14:paraId="0F9DB67F" w14:textId="77777777" w:rsidR="0014037A" w:rsidRDefault="0014037A">
      <w:pPr>
        <w:pStyle w:val="BodyText"/>
      </w:pPr>
    </w:p>
    <w:p w14:paraId="306EDAF6" w14:textId="77777777" w:rsidR="0014037A" w:rsidRDefault="0014037A">
      <w:pPr>
        <w:pStyle w:val="BodyText"/>
      </w:pPr>
    </w:p>
    <w:p w14:paraId="27D2EB62" w14:textId="77777777" w:rsidR="0014037A" w:rsidRDefault="0014037A">
      <w:pPr>
        <w:pStyle w:val="BodyText"/>
      </w:pPr>
    </w:p>
    <w:p w14:paraId="619CC42C" w14:textId="77777777" w:rsidR="0014037A" w:rsidRDefault="0014037A">
      <w:pPr>
        <w:pStyle w:val="BodyText"/>
      </w:pPr>
    </w:p>
    <w:p w14:paraId="561EC751" w14:textId="77777777" w:rsidR="0014037A" w:rsidRDefault="0014037A">
      <w:pPr>
        <w:pStyle w:val="BodyText"/>
        <w:spacing w:before="1"/>
        <w:rPr>
          <w:sz w:val="22"/>
        </w:rPr>
      </w:pPr>
    </w:p>
    <w:p w14:paraId="75D14783" w14:textId="77777777" w:rsidR="0014037A" w:rsidRDefault="00D34A99">
      <w:pPr>
        <w:spacing w:line="242" w:lineRule="auto"/>
        <w:ind w:left="237"/>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2">
        <w:r>
          <w:rPr>
            <w:color w:val="0000ED"/>
            <w:sz w:val="18"/>
            <w:u w:val="single" w:color="0000ED"/>
          </w:rPr>
          <w:t>http://legalinstruments.oecd.org</w:t>
        </w:r>
      </w:hyperlink>
      <w:r>
        <w:t xml:space="preserve"> </w:t>
      </w:r>
      <w:r>
        <w:rPr>
          <w:sz w:val="18"/>
        </w:rPr>
        <w:t>.</w:t>
      </w:r>
    </w:p>
    <w:p w14:paraId="78B16BAA" w14:textId="77777777" w:rsidR="0014037A" w:rsidRDefault="00746639">
      <w:pPr>
        <w:pStyle w:val="BodyText"/>
        <w:rPr>
          <w:sz w:val="14"/>
        </w:rPr>
      </w:pPr>
      <w:r>
        <w:pict w14:anchorId="07904D10">
          <v:shapetype id="_x0000_t202" coordsize="21600,21600" o:spt="202" path="m,l,21600r21600,l21600,xe">
            <v:stroke joinstyle="miter"/>
            <v:path gradientshapeok="t" o:connecttype="rect"/>
          </v:shapetype>
          <v:shape id="_x0000_s2052" type="#_x0000_t202" style="position:absolute;margin-left:76.85pt;margin-top:9.3pt;width:441.5pt;height:32pt;z-index:-15727616;mso-wrap-distance-left:0;mso-wrap-distance-right:0;mso-position-horizontal-relative:page" fillcolor="#dcd8c2" stroked="f">
            <v:textbox inset="0,0,0,0">
              <w:txbxContent>
                <w:p w14:paraId="5BFEB97D" w14:textId="77777777" w:rsidR="0014037A" w:rsidRDefault="00D34A99">
                  <w:pPr>
                    <w:spacing w:before="1"/>
                    <w:rPr>
                      <w:b/>
                      <w:sz w:val="18"/>
                    </w:rPr>
                  </w:pPr>
                  <w:r>
                    <w:rPr>
                      <w:b/>
                      <w:sz w:val="18"/>
                    </w:rPr>
                    <w:t>Моля, цитирайте този документ като:</w:t>
                  </w:r>
                </w:p>
                <w:p w14:paraId="561EE4B3" w14:textId="77777777" w:rsidR="0014037A" w:rsidRDefault="00D34A99">
                  <w:pPr>
                    <w:spacing w:before="8" w:line="242" w:lineRule="auto"/>
                    <w:rPr>
                      <w:sz w:val="18"/>
                    </w:rPr>
                  </w:pPr>
                  <w:r>
                    <w:rPr>
                      <w:sz w:val="18"/>
                    </w:rPr>
                    <w:t xml:space="preserve">ОИСР, </w:t>
                  </w:r>
                  <w:r>
                    <w:rPr>
                      <w:i/>
                      <w:sz w:val="18"/>
                    </w:rPr>
                    <w:t>Препоръка на Съвета относно използването на икономически инструменти в политиката по околната среда</w:t>
                  </w:r>
                  <w:r>
                    <w:rPr>
                      <w:sz w:val="18"/>
                    </w:rPr>
                    <w:t>, OECD/LEGAL/0258</w:t>
                  </w:r>
                </w:p>
              </w:txbxContent>
            </v:textbox>
            <w10:wrap type="topAndBottom" anchorx="page"/>
          </v:shape>
        </w:pict>
      </w:r>
    </w:p>
    <w:p w14:paraId="497C5B5C" w14:textId="77777777" w:rsidR="0014037A" w:rsidRDefault="0014037A">
      <w:pPr>
        <w:pStyle w:val="BodyText"/>
        <w:rPr>
          <w:sz w:val="15"/>
        </w:rPr>
      </w:pPr>
    </w:p>
    <w:p w14:paraId="42C9A2FA" w14:textId="77777777" w:rsidR="0014037A" w:rsidRDefault="00D34A99">
      <w:pPr>
        <w:spacing w:before="96"/>
        <w:ind w:left="237"/>
        <w:jc w:val="both"/>
        <w:rPr>
          <w:sz w:val="14"/>
        </w:rPr>
      </w:pPr>
      <w:r>
        <w:rPr>
          <w:sz w:val="14"/>
        </w:rPr>
        <w:t>Серия: Правни инструменти на ОИСР</w:t>
      </w:r>
    </w:p>
    <w:p w14:paraId="4C7E2065" w14:textId="77777777" w:rsidR="0014037A" w:rsidRDefault="0014037A">
      <w:pPr>
        <w:pStyle w:val="BodyText"/>
        <w:rPr>
          <w:sz w:val="16"/>
        </w:rPr>
      </w:pPr>
    </w:p>
    <w:p w14:paraId="1DAD98C9" w14:textId="77777777" w:rsidR="0014037A" w:rsidRDefault="0014037A">
      <w:pPr>
        <w:pStyle w:val="BodyText"/>
        <w:rPr>
          <w:sz w:val="16"/>
        </w:rPr>
      </w:pPr>
    </w:p>
    <w:p w14:paraId="27CB258C" w14:textId="77777777" w:rsidR="0014037A" w:rsidRDefault="0014037A">
      <w:pPr>
        <w:pStyle w:val="BodyText"/>
        <w:spacing w:before="3"/>
        <w:rPr>
          <w:sz w:val="17"/>
        </w:rPr>
      </w:pPr>
    </w:p>
    <w:p w14:paraId="376C2D1F" w14:textId="77777777" w:rsidR="0014037A" w:rsidRDefault="00D34A99">
      <w:pPr>
        <w:ind w:left="237"/>
        <w:jc w:val="both"/>
        <w:rPr>
          <w:sz w:val="18"/>
        </w:rPr>
      </w:pPr>
      <w:r>
        <w:rPr>
          <w:sz w:val="18"/>
        </w:rPr>
        <w:t>© ОИСР 2021</w:t>
      </w:r>
    </w:p>
    <w:p w14:paraId="4C0BE01E" w14:textId="77777777" w:rsidR="0014037A" w:rsidRDefault="00746639">
      <w:pPr>
        <w:pStyle w:val="BodyText"/>
        <w:rPr>
          <w:sz w:val="22"/>
        </w:rPr>
      </w:pPr>
      <w:r>
        <w:pict w14:anchorId="45E92565">
          <v:rect id="_x0000_s2051" style="position:absolute;margin-left:76.85pt;margin-top:14.6pt;width:441.5pt;height:.5pt;z-index:-15727104;mso-wrap-distance-left:0;mso-wrap-distance-right:0;mso-position-horizontal-relative:page" fillcolor="black" stroked="f">
            <w10:wrap type="topAndBottom" anchorx="page"/>
          </v:rect>
        </w:pict>
      </w:r>
    </w:p>
    <w:p w14:paraId="7EA1C147" w14:textId="77777777" w:rsidR="0014037A" w:rsidRDefault="00D34A99">
      <w:pPr>
        <w:spacing w:before="83" w:line="242" w:lineRule="auto"/>
        <w:ind w:left="237" w:right="24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1E80AD97" w14:textId="77777777" w:rsidR="0014037A" w:rsidRDefault="0014037A">
      <w:pPr>
        <w:pStyle w:val="BodyText"/>
        <w:spacing w:before="6"/>
        <w:rPr>
          <w:sz w:val="10"/>
        </w:rPr>
      </w:pPr>
    </w:p>
    <w:p w14:paraId="499049CE" w14:textId="77777777" w:rsidR="0014037A" w:rsidRDefault="00746639">
      <w:pPr>
        <w:spacing w:line="252" w:lineRule="auto"/>
        <w:ind w:left="237" w:right="237"/>
        <w:jc w:val="both"/>
        <w:rPr>
          <w:i/>
          <w:sz w:val="12"/>
        </w:rPr>
      </w:pPr>
      <w:r>
        <w:pict w14:anchorId="1C4C7194">
          <v:rect id="_x0000_s2050" style="position:absolute;left:0;text-align:left;margin-left:76.85pt;margin-top:35.15pt;width:441.5pt;height:.5pt;z-index:-15726592;mso-wrap-distance-left:0;mso-wrap-distance-right:0;mso-position-horizontal-relative:page" fillcolor="black" stroked="f">
            <w10:wrap type="topAndBottom" anchorx="page"/>
          </v:rect>
        </w:pict>
      </w:r>
      <w:r w:rsidR="00D34A99">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D34A99">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D34A99">
        <w:t xml:space="preserve"> </w:t>
      </w:r>
      <w:hyperlink r:id="rId13">
        <w:r w:rsidR="00D34A99">
          <w:rPr>
            <w:i/>
            <w:color w:val="0000ED"/>
            <w:sz w:val="12"/>
            <w:u w:val="single" w:color="0000ED"/>
          </w:rPr>
          <w:t>http://legalinstruments.oecd.org</w:t>
        </w:r>
      </w:hyperlink>
      <w:r w:rsidR="00D34A99">
        <w:t xml:space="preserve"> </w:t>
      </w:r>
      <w:r w:rsidR="00D34A99">
        <w:rPr>
          <w:i/>
          <w:sz w:val="12"/>
        </w:rPr>
        <w:t>"</w:t>
      </w:r>
    </w:p>
    <w:p w14:paraId="3F6C3668" w14:textId="77777777" w:rsidR="0014037A" w:rsidRDefault="0014037A">
      <w:pPr>
        <w:spacing w:line="252" w:lineRule="auto"/>
        <w:jc w:val="both"/>
        <w:rPr>
          <w:sz w:val="12"/>
        </w:rPr>
        <w:sectPr w:rsidR="0014037A">
          <w:pgSz w:w="11910" w:h="16840"/>
          <w:pgMar w:top="1580" w:right="1299" w:bottom="280" w:left="1300" w:header="720" w:footer="720" w:gutter="0"/>
          <w:cols w:space="720"/>
        </w:sectPr>
      </w:pPr>
    </w:p>
    <w:p w14:paraId="35701411" w14:textId="77777777" w:rsidR="0014037A" w:rsidRDefault="00D34A99">
      <w:pPr>
        <w:pStyle w:val="Heading1"/>
        <w:spacing w:before="92"/>
        <w:ind w:left="237"/>
      </w:pPr>
      <w:r>
        <w:rPr>
          <w:color w:val="1E487C"/>
        </w:rPr>
        <w:lastRenderedPageBreak/>
        <w:t>Обща информация</w:t>
      </w:r>
    </w:p>
    <w:p w14:paraId="27BE9350" w14:textId="77777777" w:rsidR="0014037A" w:rsidRDefault="0014037A">
      <w:pPr>
        <w:pStyle w:val="BodyText"/>
        <w:rPr>
          <w:b/>
          <w:sz w:val="26"/>
        </w:rPr>
      </w:pPr>
    </w:p>
    <w:p w14:paraId="5526344F" w14:textId="77777777" w:rsidR="0014037A" w:rsidRDefault="0014037A">
      <w:pPr>
        <w:pStyle w:val="BodyText"/>
        <w:spacing w:before="3"/>
        <w:rPr>
          <w:b/>
          <w:sz w:val="23"/>
        </w:rPr>
      </w:pPr>
    </w:p>
    <w:p w14:paraId="35B1A925" w14:textId="77777777" w:rsidR="0014037A" w:rsidRDefault="00D34A99">
      <w:pPr>
        <w:pStyle w:val="BodyText"/>
        <w:ind w:left="237" w:right="235"/>
        <w:jc w:val="both"/>
      </w:pPr>
      <w:r>
        <w:t>Препоръката за използване на икономически инструменти в политиката по околната среда е приета от Съвета на ОИСР на 31 януари 1991 г. по предложение на Комитета по околна среда (сега наричан Комитета по екологична политика). Стремейки се към устойчиво и икономически ефективно управление на екологичните ресурси, Препоръката призовава присъединилите се страни да използват по-широко и последователно икономическите инструменти като допълнение или заместител на други инструменти на политиката. Тя по-специално препоръчва на присъединилите се страни, когато използват икономически инструменти, да вземат предвид насоките и съображенията за използване на икономически инструменти в политиката по околната среда, изложени в приложението.</w:t>
      </w:r>
    </w:p>
    <w:p w14:paraId="7BB2C03D" w14:textId="77777777" w:rsidR="0014037A" w:rsidRDefault="0014037A">
      <w:pPr>
        <w:jc w:val="both"/>
        <w:sectPr w:rsidR="0014037A">
          <w:headerReference w:type="even" r:id="rId14"/>
          <w:headerReference w:type="default" r:id="rId15"/>
          <w:pgSz w:w="11910" w:h="16840"/>
          <w:pgMar w:top="1320" w:right="1299" w:bottom="280" w:left="1300" w:header="849" w:footer="0" w:gutter="0"/>
          <w:pgNumType w:start="3"/>
          <w:cols w:space="720"/>
        </w:sectPr>
      </w:pPr>
    </w:p>
    <w:p w14:paraId="4CDD6EE2" w14:textId="77777777" w:rsidR="00201C5C" w:rsidRPr="00600D40" w:rsidRDefault="00201C5C" w:rsidP="00201C5C">
      <w:r>
        <w:rPr>
          <w:b/>
          <w:bCs/>
        </w:rPr>
        <w:lastRenderedPageBreak/>
        <w:t>СЪВЕТЪТ</w:t>
      </w:r>
      <w:r>
        <w:t>,</w:t>
      </w:r>
    </w:p>
    <w:p w14:paraId="001155E1" w14:textId="77777777" w:rsidR="00F244B1" w:rsidRDefault="00F244B1" w:rsidP="00201C5C">
      <w:pPr>
        <w:rPr>
          <w:b/>
          <w:bCs/>
        </w:rPr>
      </w:pPr>
    </w:p>
    <w:p w14:paraId="65F3A58C" w14:textId="7A03D50D" w:rsidR="00201C5C" w:rsidRPr="00600D40" w:rsidRDefault="00201C5C" w:rsidP="00201C5C">
      <w:r>
        <w:rPr>
          <w:b/>
          <w:bCs/>
        </w:rPr>
        <w:t>КАТО ВЗЕ ПРЕДВИД</w:t>
      </w:r>
      <w:r>
        <w:t xml:space="preserve"> член 5б) от Конвенцията за Организацията за икономическо сътрудничество и развитие от 14 декември 1960 г.;</w:t>
      </w:r>
    </w:p>
    <w:p w14:paraId="20620BFD" w14:textId="77777777" w:rsidR="00F244B1" w:rsidRDefault="00F244B1" w:rsidP="00201C5C">
      <w:pPr>
        <w:rPr>
          <w:b/>
          <w:bCs/>
        </w:rPr>
      </w:pPr>
    </w:p>
    <w:p w14:paraId="4F22D6B5" w14:textId="3418397C" w:rsidR="00201C5C" w:rsidRPr="00600D40" w:rsidRDefault="00201C5C" w:rsidP="00201C5C">
      <w:r>
        <w:rPr>
          <w:b/>
          <w:bCs/>
        </w:rPr>
        <w:t>КАТО ВЗЕ ПРЕДВИД</w:t>
      </w:r>
      <w:r>
        <w:t xml:space="preserve"> Препоръката на Съвета от 26 май 1972 г. относно ръководните принципи за международните икономически аспекти на политиките в областта на околната среда [C(72)128];</w:t>
      </w:r>
    </w:p>
    <w:p w14:paraId="050B8673" w14:textId="77777777" w:rsidR="00F244B1" w:rsidRDefault="00F244B1" w:rsidP="00201C5C">
      <w:pPr>
        <w:rPr>
          <w:b/>
          <w:bCs/>
        </w:rPr>
      </w:pPr>
    </w:p>
    <w:p w14:paraId="0693B859" w14:textId="6C72A407" w:rsidR="00201C5C" w:rsidRPr="00600D40" w:rsidRDefault="00201C5C" w:rsidP="00201C5C">
      <w:r>
        <w:rPr>
          <w:b/>
          <w:bCs/>
        </w:rPr>
        <w:t>КАТО ВЗЕ ПРЕДВИД</w:t>
      </w:r>
      <w:r>
        <w:t xml:space="preserve"> Препоръката на Съвета от 14 ноември 1974 г. относно прилагането на принципа „замърсителят плаща“ [C(74)223];</w:t>
      </w:r>
    </w:p>
    <w:p w14:paraId="58989637" w14:textId="77777777" w:rsidR="00F244B1" w:rsidRDefault="00F244B1" w:rsidP="00201C5C">
      <w:pPr>
        <w:rPr>
          <w:b/>
          <w:bCs/>
        </w:rPr>
      </w:pPr>
    </w:p>
    <w:p w14:paraId="6C13D298" w14:textId="26319E74" w:rsidR="00201C5C" w:rsidRPr="00600D40" w:rsidRDefault="00201C5C" w:rsidP="00201C5C">
      <w:r>
        <w:rPr>
          <w:b/>
          <w:bCs/>
        </w:rPr>
        <w:t>КАТО ВЗЕ ПРЕДВИД</w:t>
      </w:r>
      <w:r>
        <w:t xml:space="preserve"> Препоръката на Съвета от 7 юли 1989 г. относно прилагането на принципа „замърсителят плаща“ към случайно замърсяване [C(89)88(Final)];</w:t>
      </w:r>
    </w:p>
    <w:p w14:paraId="3558191D" w14:textId="77777777" w:rsidR="00F244B1" w:rsidRDefault="00F244B1" w:rsidP="00201C5C">
      <w:pPr>
        <w:rPr>
          <w:b/>
          <w:bCs/>
        </w:rPr>
      </w:pPr>
    </w:p>
    <w:p w14:paraId="4F830E20" w14:textId="70C7A028" w:rsidR="00201C5C" w:rsidRPr="00600D40" w:rsidRDefault="00201C5C" w:rsidP="00201C5C">
      <w:r>
        <w:rPr>
          <w:b/>
          <w:bCs/>
        </w:rPr>
        <w:t>КАТО ВЗЕ ПРЕДВИД</w:t>
      </w:r>
      <w:r>
        <w:t xml:space="preserve"> актовете на Съвета, които препоръчват използването на икономически инструменти в различни области на политиката, а именно: Препоръката на Съвета от 28 септември 1976 г. относно всеобхватната политика за управление на отпадъците [C(76)155(Final); Препоръката на Съвета от 5 април 1978 г. относно политиките и инструментите за управление на водите [C(78)4(Final)]; Препоръката на Съвета от 3 февруари 1978 г. относно повторната употреба и рециклирането на контейнери за напитки [C(78)8(Final)]; Препоръката на Съвета от 3 юли 1978 г. относно политиките за намаляване на шума [C(78)73(Final)]; Препоръката на Съвета от 20 юни 1985 г. относно засилване на политиките за намаляване на шума [C(85)103]; Препоръката на Съвета от 31 март 1989 г. относно политиките за управление на водните ресурси: Интеграция, управление на търсенето и защита на подземните води [C(89)12(Final)];</w:t>
      </w:r>
    </w:p>
    <w:p w14:paraId="125874B0" w14:textId="77777777" w:rsidR="00F244B1" w:rsidRDefault="00F244B1" w:rsidP="00201C5C">
      <w:pPr>
        <w:rPr>
          <w:b/>
          <w:bCs/>
        </w:rPr>
      </w:pPr>
    </w:p>
    <w:p w14:paraId="71C1B3AB" w14:textId="0FC84DAC" w:rsidR="00201C5C" w:rsidRPr="00600D40" w:rsidRDefault="00201C5C" w:rsidP="00201C5C">
      <w:r>
        <w:rPr>
          <w:b/>
          <w:bCs/>
        </w:rPr>
        <w:t>КАТО ВЗЕ ПРЕДВИД</w:t>
      </w:r>
      <w:r>
        <w:t xml:space="preserve"> Декларацията за околната среда: Ресурси за бъдещето, приета от правителствата на страните-членки по време на срещата на Комитета по околна среда на министерско ниво на 20 юни 1985 г., в която се посочва, че страните-членки „ще се стремят да въведат повече гъвкавост, ефективност и рентабилност при проектирането и прилагането на мерките за контрол на замърсяването по-специално чрез последователно прилагане на принципа „замърсителят плаща“ и по-ефективно използване на икономически инструменти във връзка с регулациите“;</w:t>
      </w:r>
    </w:p>
    <w:p w14:paraId="0603F183" w14:textId="77777777" w:rsidR="00F244B1" w:rsidRDefault="00F244B1" w:rsidP="00201C5C">
      <w:pPr>
        <w:rPr>
          <w:b/>
          <w:bCs/>
        </w:rPr>
      </w:pPr>
    </w:p>
    <w:p w14:paraId="2F16A35B" w14:textId="66813610" w:rsidR="00201C5C" w:rsidRPr="00600D40" w:rsidRDefault="00201C5C" w:rsidP="00201C5C">
      <w:r>
        <w:rPr>
          <w:b/>
          <w:bCs/>
        </w:rPr>
        <w:t>КАТО ВЗЕ ПРЕДВИД</w:t>
      </w:r>
      <w:r>
        <w:t xml:space="preserve"> Министерското комюнике на Съвета на ОИСР от 31 май 1990 г., в което се посочва, че ОИСР трябва да разработи „Насоки за използване на икономически инструменти и пазарни механизми за постигане на екологични цели“;</w:t>
      </w:r>
    </w:p>
    <w:p w14:paraId="32FE7D06" w14:textId="77777777" w:rsidR="00F244B1" w:rsidRDefault="00F244B1" w:rsidP="00201C5C">
      <w:pPr>
        <w:rPr>
          <w:b/>
          <w:bCs/>
        </w:rPr>
      </w:pPr>
    </w:p>
    <w:p w14:paraId="128593D5" w14:textId="6054DF11" w:rsidR="00201C5C" w:rsidRPr="00600D40" w:rsidRDefault="00201C5C" w:rsidP="00201C5C">
      <w:r>
        <w:rPr>
          <w:b/>
          <w:bCs/>
        </w:rPr>
        <w:t>КАТО ВЗЕ ПРЕДВИД</w:t>
      </w:r>
      <w:r>
        <w:t xml:space="preserve"> Министерската декларация от Втората световна конференция по климата от 7 ноември 1990 г., която гласи: „Приемането на каквато и да е форма на икономически или регулаторни мерки трябва да изисква внимателни и съществени анализи. Препоръчваме съответните политики да използват икономически инструменти, подходящи за социално-икономическите условия на всяка страна, във връзка с балансирана комбинация от регулаторни подходи“;</w:t>
      </w:r>
    </w:p>
    <w:p w14:paraId="248965D3" w14:textId="77777777" w:rsidR="00F244B1" w:rsidRDefault="00F244B1" w:rsidP="00201C5C">
      <w:pPr>
        <w:rPr>
          <w:b/>
          <w:bCs/>
        </w:rPr>
      </w:pPr>
    </w:p>
    <w:p w14:paraId="29850794" w14:textId="680F0D98" w:rsidR="00201C5C" w:rsidRPr="00600D40" w:rsidRDefault="00201C5C" w:rsidP="00201C5C">
      <w:r>
        <w:rPr>
          <w:b/>
          <w:bCs/>
        </w:rPr>
        <w:t>КАТО ОТЧЕТЕ,</w:t>
      </w:r>
      <w:r>
        <w:t xml:space="preserve"> че устойчивото и икономически ефективно управление на ресурсите на околната среда изисква, </w:t>
      </w:r>
      <w:r>
        <w:rPr>
          <w:i/>
          <w:iCs/>
        </w:rPr>
        <w:t>inter alia</w:t>
      </w:r>
      <w:r>
        <w:t>, вътрешно поемане на разходите за предотвратяване на замърсяването, контрола и понесените щети.</w:t>
      </w:r>
    </w:p>
    <w:p w14:paraId="0A89467D" w14:textId="77777777" w:rsidR="00F244B1" w:rsidRDefault="00F244B1" w:rsidP="00201C5C">
      <w:pPr>
        <w:rPr>
          <w:b/>
          <w:bCs/>
        </w:rPr>
      </w:pPr>
    </w:p>
    <w:p w14:paraId="6F809141" w14:textId="46140ED1" w:rsidR="00201C5C" w:rsidRPr="00600D40" w:rsidRDefault="00201C5C" w:rsidP="00201C5C">
      <w:r>
        <w:rPr>
          <w:b/>
          <w:bCs/>
        </w:rPr>
        <w:t>КАТО ОТЧЕТЕ,</w:t>
      </w:r>
      <w:r>
        <w:t xml:space="preserve"> че подобно вътрешно поемане може да бъде засилено чрез последователно използване на пазарни механизми, по-специално на онези икономически инструменти, определени в приложението към настоящата препоръка;</w:t>
      </w:r>
    </w:p>
    <w:p w14:paraId="79B6F2DF" w14:textId="77777777" w:rsidR="00F244B1" w:rsidRDefault="00F244B1" w:rsidP="00201C5C">
      <w:pPr>
        <w:rPr>
          <w:b/>
          <w:bCs/>
        </w:rPr>
      </w:pPr>
    </w:p>
    <w:p w14:paraId="3251584F" w14:textId="6D4EE29B" w:rsidR="00201C5C" w:rsidRPr="00600D40" w:rsidRDefault="00201C5C" w:rsidP="00201C5C">
      <w:r>
        <w:rPr>
          <w:b/>
          <w:bCs/>
        </w:rPr>
        <w:t xml:space="preserve">I. ПРЕПОРЪЧВА </w:t>
      </w:r>
      <w:r>
        <w:t>на страните-членки:</w:t>
      </w:r>
    </w:p>
    <w:p w14:paraId="0FEDDC0A" w14:textId="77777777" w:rsidR="00F244B1" w:rsidRDefault="00F244B1" w:rsidP="00201C5C"/>
    <w:p w14:paraId="75B5A58A" w14:textId="331F1E83" w:rsidR="00201C5C" w:rsidRDefault="00201C5C" w:rsidP="00201C5C">
      <w:r>
        <w:t>i) Да използват по-широко и по-последователно икономическите инструменти като допълнение или заместител на други инструменти на политиката като регламенти, като се вземат предвид националните социално-икономически условия;</w:t>
      </w:r>
    </w:p>
    <w:p w14:paraId="549C8CFA" w14:textId="77777777" w:rsidR="00201C5C" w:rsidRPr="00600D40" w:rsidRDefault="00201C5C" w:rsidP="00201C5C">
      <w:bookmarkStart w:id="0" w:name="_Hlk93484835"/>
      <w:r>
        <w:lastRenderedPageBreak/>
        <w:t>ii) Да работят за подобряване на разпределението и ефективното използване на природните и екологичните ресурси чрез икономически инструменти, така че да отразяват по-добре социалните разходи от използването на тези ресурси;</w:t>
      </w:r>
    </w:p>
    <w:p w14:paraId="15BBA172" w14:textId="77777777" w:rsidR="00FD48F4" w:rsidRDefault="00FD48F4" w:rsidP="00201C5C"/>
    <w:p w14:paraId="14D937C0" w14:textId="0B74AA72" w:rsidR="00201C5C" w:rsidRPr="00600D40" w:rsidRDefault="00201C5C" w:rsidP="00201C5C">
      <w:r>
        <w:t>Iii) Да полагат усилия за постигане на по-нататъшно споразумение на международно ниво относно използването на инструменти на политиката по околната среда по отношение на решаването на регионални или глобални екологични проблеми, както и осигуряване на устойчиво развитие;</w:t>
      </w:r>
    </w:p>
    <w:p w14:paraId="18856EFB" w14:textId="77777777" w:rsidR="00FD48F4" w:rsidRDefault="00FD48F4" w:rsidP="00201C5C"/>
    <w:p w14:paraId="6C3C8DEC" w14:textId="5A2D5792" w:rsidR="00201C5C" w:rsidRPr="00600D40" w:rsidRDefault="00201C5C" w:rsidP="00201C5C">
      <w:r>
        <w:t>iv) Да разработват по-добри техники за моделиране, прогнозиране и мониторинг за предоставяне на информация за екологичните последици от алтернативни политически действия и техните икономически ефекти;</w:t>
      </w:r>
    </w:p>
    <w:p w14:paraId="4CEFA8E8" w14:textId="77777777" w:rsidR="00FD48F4" w:rsidRDefault="00FD48F4" w:rsidP="00201C5C"/>
    <w:p w14:paraId="6A1D9A62" w14:textId="51FF5F16" w:rsidR="00201C5C" w:rsidRPr="00600D40" w:rsidRDefault="00201C5C" w:rsidP="00201C5C">
      <w:r>
        <w:t>v) Да интегрират вземането на решения в областта на околната среда и икономиката в секторните политики, за да се избегнат неблагоприятни въздействия върху екологичните ресурси, напр. какъвто може да бъде случаят с механизмите за ценова подкрепа в сектори като енергетика, селско стопанство и транспорт.</w:t>
      </w:r>
    </w:p>
    <w:p w14:paraId="3BD6C701" w14:textId="77777777" w:rsidR="00FD48F4" w:rsidRDefault="00FD48F4" w:rsidP="00201C5C">
      <w:pPr>
        <w:rPr>
          <w:b/>
          <w:bCs/>
        </w:rPr>
      </w:pPr>
    </w:p>
    <w:p w14:paraId="0CB880FD" w14:textId="212FA4EC" w:rsidR="00201C5C" w:rsidRPr="00600D40" w:rsidRDefault="00201C5C" w:rsidP="00201C5C">
      <w:r>
        <w:rPr>
          <w:b/>
          <w:bCs/>
        </w:rPr>
        <w:t>II        ПРЕПОРЪЧВА</w:t>
      </w:r>
      <w:r>
        <w:t>, когато използват икономически инструменти, страните-членки да вземат предвид насоките и съображенията, изложени в приложението към настоящата препоръка, което е неразделна част от нея.</w:t>
      </w:r>
    </w:p>
    <w:p w14:paraId="60ABAEF6" w14:textId="77777777" w:rsidR="00FD48F4" w:rsidRDefault="00FD48F4" w:rsidP="00201C5C">
      <w:pPr>
        <w:rPr>
          <w:b/>
          <w:bCs/>
        </w:rPr>
      </w:pPr>
    </w:p>
    <w:p w14:paraId="1D392628" w14:textId="399D3FF7" w:rsidR="00201C5C" w:rsidRPr="00600D40" w:rsidRDefault="00201C5C" w:rsidP="00201C5C">
      <w:r>
        <w:rPr>
          <w:b/>
          <w:bCs/>
        </w:rPr>
        <w:t>III.       УКАЗВА</w:t>
      </w:r>
      <w:r>
        <w:t xml:space="preserve"> на Комитета по околна среда и други релевантни органи на Организацията (по-специално Комитета по икономическа политика):</w:t>
      </w:r>
    </w:p>
    <w:p w14:paraId="56255533" w14:textId="77777777" w:rsidR="00FD48F4" w:rsidRDefault="00FD48F4" w:rsidP="00201C5C"/>
    <w:p w14:paraId="34798182" w14:textId="166C706B" w:rsidR="00201C5C" w:rsidRPr="00600D40" w:rsidRDefault="00201C5C" w:rsidP="00FD48F4">
      <w:pPr>
        <w:ind w:firstLine="567"/>
      </w:pPr>
      <w:r>
        <w:t>i) Да подкрепят усилията на страните-членки за прилагане на икономически инструменти чрез обмен на информация относно по-конкретно проектиране или избор на икономически инструменти, данъчни реформи, техники за моделиране, прогнозиране и наблюдение, институционални договорености, регулаторна реформа и дерегулация, премахване на вредни за околната среда секторни субсидии с цел:</w:t>
      </w:r>
    </w:p>
    <w:p w14:paraId="346A1BD0" w14:textId="77777777" w:rsidR="00201C5C" w:rsidRPr="00600D40" w:rsidRDefault="00201C5C" w:rsidP="00201C5C">
      <w:r>
        <w:tab/>
        <w:t>●Да подобрят международната координация на екологичните политики по отношение на глобалните и регионални екологични проблеми;</w:t>
      </w:r>
    </w:p>
    <w:p w14:paraId="7285A128" w14:textId="77777777" w:rsidR="00FD48F4" w:rsidRDefault="00201C5C" w:rsidP="00201C5C">
      <w:r>
        <w:tab/>
        <w:t xml:space="preserve">●Да развиват работата си по икономическите инструменти, за да подпомогнат страните-членки при избора на най-рентабилните политически инструменти и да предоставят информация относно тяхната </w:t>
      </w:r>
    </w:p>
    <w:p w14:paraId="65B9CE41" w14:textId="59216DFE" w:rsidR="00201C5C" w:rsidRPr="00600D40" w:rsidRDefault="00201C5C" w:rsidP="00201C5C">
      <w:r>
        <w:t>ефективност при постигане на специфични екологични цели;</w:t>
      </w:r>
    </w:p>
    <w:p w14:paraId="7263C5DF" w14:textId="77777777" w:rsidR="00FD48F4" w:rsidRDefault="00FD48F4" w:rsidP="00201C5C"/>
    <w:p w14:paraId="242A8FB2" w14:textId="0B846D5A" w:rsidR="00201C5C" w:rsidRPr="00600D40" w:rsidRDefault="00201C5C" w:rsidP="00FD48F4">
      <w:pPr>
        <w:ind w:firstLine="567"/>
      </w:pPr>
      <w:r>
        <w:t>ii) Да преразгледат действията, предприети от страните-членки съгласно настоящата препоръка в рамките на три години след приемането ѝ.</w:t>
      </w:r>
    </w:p>
    <w:p w14:paraId="0FD771B7" w14:textId="77777777" w:rsidR="00201C5C" w:rsidRDefault="00201C5C" w:rsidP="00201C5C"/>
    <w:p w14:paraId="573228FC" w14:textId="77777777" w:rsidR="00201C5C" w:rsidRDefault="00201C5C" w:rsidP="00201C5C"/>
    <w:bookmarkEnd w:id="0"/>
    <w:p w14:paraId="3A5B2B88" w14:textId="77777777" w:rsidR="00201C5C" w:rsidRDefault="00201C5C" w:rsidP="00201C5C"/>
    <w:p w14:paraId="56A1CE08" w14:textId="77777777" w:rsidR="00201C5C" w:rsidRDefault="00201C5C" w:rsidP="00201C5C"/>
    <w:p w14:paraId="1869E9A4" w14:textId="77777777" w:rsidR="00201C5C" w:rsidRDefault="00201C5C" w:rsidP="00201C5C"/>
    <w:p w14:paraId="3234FF29" w14:textId="77777777" w:rsidR="00201C5C" w:rsidRDefault="00201C5C" w:rsidP="00201C5C"/>
    <w:p w14:paraId="362DA5C8" w14:textId="77777777" w:rsidR="00201C5C" w:rsidRDefault="00201C5C" w:rsidP="00201C5C"/>
    <w:p w14:paraId="103DB3FD" w14:textId="77777777" w:rsidR="00201C5C" w:rsidRDefault="00201C5C" w:rsidP="00201C5C"/>
    <w:p w14:paraId="2A2EAB95" w14:textId="77777777" w:rsidR="00201C5C" w:rsidRDefault="00201C5C" w:rsidP="00201C5C"/>
    <w:p w14:paraId="5B792F38" w14:textId="77777777" w:rsidR="00201C5C" w:rsidRDefault="00201C5C" w:rsidP="00201C5C"/>
    <w:p w14:paraId="53156B1B" w14:textId="37066AA4" w:rsidR="00201C5C" w:rsidRDefault="00201C5C" w:rsidP="00201C5C"/>
    <w:p w14:paraId="0C35EADA" w14:textId="0B7F556F" w:rsidR="00FD48F4" w:rsidRDefault="00FD48F4" w:rsidP="00201C5C"/>
    <w:p w14:paraId="2EFD4B8E" w14:textId="6C793DC5" w:rsidR="00FD48F4" w:rsidRDefault="00FD48F4" w:rsidP="00201C5C"/>
    <w:p w14:paraId="02439047" w14:textId="4C152200" w:rsidR="00FD48F4" w:rsidRDefault="00FD48F4" w:rsidP="00201C5C"/>
    <w:p w14:paraId="61C63184" w14:textId="6798C9C8" w:rsidR="00FD48F4" w:rsidRDefault="00FD48F4" w:rsidP="00201C5C"/>
    <w:p w14:paraId="6B81FCF5" w14:textId="62D10E47" w:rsidR="00FD48F4" w:rsidRDefault="00FD48F4" w:rsidP="00201C5C"/>
    <w:p w14:paraId="091DAE89" w14:textId="05A22690" w:rsidR="00FD48F4" w:rsidRDefault="00FD48F4" w:rsidP="00201C5C"/>
    <w:p w14:paraId="38AE096D" w14:textId="3FE7C717" w:rsidR="00FD48F4" w:rsidRDefault="00FD48F4" w:rsidP="00201C5C"/>
    <w:p w14:paraId="39CD8ECE" w14:textId="1A2328DF" w:rsidR="00FD48F4" w:rsidRDefault="00FD48F4" w:rsidP="00201C5C"/>
    <w:p w14:paraId="51E3A331" w14:textId="4D9A5B1F" w:rsidR="00FD48F4" w:rsidRDefault="00FD48F4" w:rsidP="00201C5C"/>
    <w:p w14:paraId="35A68184" w14:textId="2ECBB00B" w:rsidR="00FD48F4" w:rsidRDefault="00FD48F4" w:rsidP="00201C5C"/>
    <w:p w14:paraId="77BADCFF" w14:textId="4C2130B6" w:rsidR="00201C5C" w:rsidRDefault="00201C5C" w:rsidP="00201C5C">
      <w:pPr>
        <w:jc w:val="center"/>
        <w:rPr>
          <w:sz w:val="24"/>
          <w:szCs w:val="24"/>
        </w:rPr>
      </w:pPr>
      <w:bookmarkStart w:id="1" w:name="_Hlk93484930"/>
      <w:r>
        <w:rPr>
          <w:sz w:val="24"/>
          <w:szCs w:val="24"/>
        </w:rPr>
        <w:lastRenderedPageBreak/>
        <w:t>ПРИЛОЖЕНИЕ</w:t>
      </w:r>
    </w:p>
    <w:p w14:paraId="30569C2C" w14:textId="77777777" w:rsidR="00FD48F4" w:rsidRPr="001E230B" w:rsidRDefault="00FD48F4" w:rsidP="00201C5C">
      <w:pPr>
        <w:jc w:val="center"/>
        <w:rPr>
          <w:sz w:val="6"/>
          <w:szCs w:val="6"/>
        </w:rPr>
      </w:pPr>
    </w:p>
    <w:p w14:paraId="56BD1BF2" w14:textId="24DB8470" w:rsidR="00201C5C" w:rsidRDefault="00201C5C" w:rsidP="00201C5C">
      <w:pPr>
        <w:jc w:val="center"/>
        <w:rPr>
          <w:b/>
          <w:bCs/>
          <w:sz w:val="24"/>
          <w:szCs w:val="24"/>
        </w:rPr>
      </w:pPr>
      <w:r>
        <w:rPr>
          <w:b/>
          <w:bCs/>
          <w:sz w:val="24"/>
          <w:szCs w:val="24"/>
        </w:rPr>
        <w:t>НАСОКИ И СЪОБРАЖЕНИЯ ЗА ИЗПОЛЗВАНЕ НА ИКОНОМИЧЕСКИ ИНСТРУМЕНТИ В ПОЛИТИКАТА ПО ОКОЛНАТА СРЕДА</w:t>
      </w:r>
    </w:p>
    <w:p w14:paraId="147489DE" w14:textId="77777777" w:rsidR="00FD48F4" w:rsidRPr="001E230B" w:rsidRDefault="00FD48F4" w:rsidP="00201C5C">
      <w:pPr>
        <w:jc w:val="center"/>
        <w:rPr>
          <w:sz w:val="6"/>
          <w:szCs w:val="6"/>
        </w:rPr>
      </w:pPr>
    </w:p>
    <w:p w14:paraId="2FE5EFC0" w14:textId="09F1B1F9" w:rsidR="00201C5C" w:rsidRPr="00FD48F4" w:rsidRDefault="00201C5C" w:rsidP="00FD48F4">
      <w:pPr>
        <w:pStyle w:val="ListParagraph"/>
        <w:numPr>
          <w:ilvl w:val="0"/>
          <w:numId w:val="6"/>
        </w:numPr>
        <w:rPr>
          <w:b/>
          <w:bCs/>
        </w:rPr>
      </w:pPr>
      <w:r>
        <w:rPr>
          <w:b/>
          <w:bCs/>
        </w:rPr>
        <w:t>Видове икономически инструменти, за които се прилагат насоките</w:t>
      </w:r>
    </w:p>
    <w:p w14:paraId="1DBD805A" w14:textId="77777777" w:rsidR="00FD48F4" w:rsidRPr="001E230B" w:rsidRDefault="00FD48F4" w:rsidP="00FD48F4">
      <w:pPr>
        <w:pStyle w:val="ListParagraph"/>
        <w:ind w:left="1080"/>
        <w:rPr>
          <w:sz w:val="12"/>
          <w:szCs w:val="12"/>
        </w:rPr>
      </w:pPr>
    </w:p>
    <w:p w14:paraId="232B749D" w14:textId="77777777" w:rsidR="00201C5C" w:rsidRPr="00600D40" w:rsidRDefault="00201C5C" w:rsidP="00201C5C">
      <w:r>
        <w:t>1</w:t>
      </w:r>
      <w:r>
        <w:tab/>
        <w:t>Икономическите инструменти имат потенциала да бъдат приложени към широк спектър от въпроси, свързани с околната среда и природните ресурси. Настоящите насоки се занимават с използването на икономически инструменти, определени по-долу. Освен това има и други видове икономически инструменти като стимули за прилагане, глоби, такси за неспазване, административни такси, гаранции за изпълнение, обезщетение за щети и т.н., които могат да имат роля в политиката по околната среда, но не се разглеждат тук. Освен това насоките се фокусират предимно върху проблемите на замърсяването, въпреки че икономическите инструменти също имат значителен потенциал за приложение под формата на ценообразуване на ресурсите.</w:t>
      </w:r>
    </w:p>
    <w:p w14:paraId="49EB2D4B" w14:textId="77777777" w:rsidR="00FD48F4" w:rsidRPr="001E230B" w:rsidRDefault="00FD48F4" w:rsidP="00201C5C">
      <w:pPr>
        <w:rPr>
          <w:b/>
          <w:bCs/>
          <w:i/>
          <w:iCs/>
          <w:sz w:val="12"/>
          <w:szCs w:val="12"/>
        </w:rPr>
      </w:pPr>
    </w:p>
    <w:p w14:paraId="55257909" w14:textId="5E356931" w:rsidR="00201C5C" w:rsidRDefault="00201C5C" w:rsidP="00201C5C">
      <w:pPr>
        <w:rPr>
          <w:b/>
          <w:bCs/>
          <w:i/>
          <w:iCs/>
        </w:rPr>
      </w:pPr>
      <w:r>
        <w:rPr>
          <w:b/>
          <w:bCs/>
          <w:i/>
          <w:iCs/>
        </w:rPr>
        <w:t>Такси и данъци</w:t>
      </w:r>
    </w:p>
    <w:p w14:paraId="42115990" w14:textId="77777777" w:rsidR="00FD48F4" w:rsidRPr="001E230B" w:rsidRDefault="00FD48F4" w:rsidP="00201C5C">
      <w:pPr>
        <w:rPr>
          <w:sz w:val="12"/>
          <w:szCs w:val="12"/>
        </w:rPr>
      </w:pPr>
    </w:p>
    <w:p w14:paraId="19A12B7C" w14:textId="77777777" w:rsidR="00201C5C" w:rsidRPr="00600D40" w:rsidRDefault="00201C5C" w:rsidP="00201C5C">
      <w:r>
        <w:t>2</w:t>
      </w:r>
      <w:r>
        <w:tab/>
        <w:t>Таксите или данъците за емисии са плащания върху емисиите на замърсители във въздуха или водата или върху или в почвата и върху генерирането на шум. Таксите или данъците за емисии се изчисляват въз основа на количеството и вида на изхвърляния замърсител.</w:t>
      </w:r>
    </w:p>
    <w:p w14:paraId="277EC961" w14:textId="77777777" w:rsidR="00FD48F4" w:rsidRPr="001E230B" w:rsidRDefault="00FD48F4" w:rsidP="00201C5C">
      <w:pPr>
        <w:rPr>
          <w:sz w:val="12"/>
          <w:szCs w:val="12"/>
        </w:rPr>
      </w:pPr>
    </w:p>
    <w:p w14:paraId="570DE606" w14:textId="2EA5BE35" w:rsidR="00201C5C" w:rsidRPr="00600D40" w:rsidRDefault="00201C5C" w:rsidP="00201C5C">
      <w:r>
        <w:t>3</w:t>
      </w:r>
      <w:r>
        <w:tab/>
        <w:t>Потребителските такси или данъци са плащания за разходите за колективно третиране на отпадни води или отпадъци.</w:t>
      </w:r>
    </w:p>
    <w:p w14:paraId="1358D5FB" w14:textId="77777777" w:rsidR="00FD48F4" w:rsidRPr="001E230B" w:rsidRDefault="00FD48F4" w:rsidP="00201C5C">
      <w:pPr>
        <w:rPr>
          <w:sz w:val="12"/>
          <w:szCs w:val="12"/>
        </w:rPr>
      </w:pPr>
    </w:p>
    <w:p w14:paraId="4B3E53F0" w14:textId="460044B6" w:rsidR="00201C5C" w:rsidRPr="00600D40" w:rsidRDefault="00201C5C" w:rsidP="00201C5C">
      <w:r>
        <w:t>4</w:t>
      </w:r>
      <w:r>
        <w:tab/>
        <w:t>Продуктови такси или данъци се налагат върху продукти, които са вредни за околната среда, когато се използват в производствените процеси, консумират или изхвърлят. Продуктовите такси или данъци могат да действат като заместител на таксите или данъците за емисии, когато директното таксуване за емисии не е осъществимо. Те могат да се прилагат към суровини, междинни или крайни (потребителски) продукти. Със същата цел може да бъде разработено диференциално данъчно облагане на продуктите.</w:t>
      </w:r>
    </w:p>
    <w:p w14:paraId="29470449" w14:textId="77777777" w:rsidR="00FD48F4" w:rsidRPr="001E230B" w:rsidRDefault="00FD48F4" w:rsidP="00201C5C">
      <w:pPr>
        <w:rPr>
          <w:b/>
          <w:bCs/>
          <w:i/>
          <w:iCs/>
          <w:sz w:val="12"/>
          <w:szCs w:val="12"/>
        </w:rPr>
      </w:pPr>
    </w:p>
    <w:p w14:paraId="3126FD46" w14:textId="5215CC2F" w:rsidR="00201C5C" w:rsidRPr="00600D40" w:rsidRDefault="00201C5C" w:rsidP="00201C5C">
      <w:r>
        <w:rPr>
          <w:b/>
          <w:bCs/>
          <w:i/>
          <w:iCs/>
        </w:rPr>
        <w:t>Емисионни разрешителни</w:t>
      </w:r>
    </w:p>
    <w:p w14:paraId="4D37A3AE" w14:textId="77777777" w:rsidR="00FD48F4" w:rsidRPr="001E230B" w:rsidRDefault="00FD48F4" w:rsidP="00201C5C">
      <w:pPr>
        <w:rPr>
          <w:sz w:val="12"/>
          <w:szCs w:val="12"/>
        </w:rPr>
      </w:pPr>
    </w:p>
    <w:p w14:paraId="3FCF2D2A" w14:textId="247C3CDD" w:rsidR="00201C5C" w:rsidRPr="00600D40" w:rsidRDefault="00201C5C" w:rsidP="00201C5C">
      <w:r>
        <w:t>5</w:t>
      </w:r>
      <w:r>
        <w:tab/>
        <w:t>Емисионните разрешителни са квоти, надбавки или тавани за нивата на емисии на замърсяване от определени замърсители, които, след като бъдат разпределени от съответния орган, могат да се търгуват при спазване на набор от предписани правила. Следователно емисионните разрешителни осигуряват стимул за изпускателите да отделят по-малко замърсяване, отколкото позволяват техните граници, да търгуват с разликите между действително изпуснатите и допустимото изпускане към други изпускатели, които след това имат право да отделят повече от позволеното от първоначалните ограничения. При различни подходи тези сделки могат да се извършват в рамките на завод, във фирма, между различни фирми или евентуално между държави. Целта е да се достигне общият таван на замърсяване с максимална ефективност. По същия начин емисионните разрешителни могат да се използват като средство за насърчаване на ефективното използване на природните ресурси като оскъдните водни запаси.</w:t>
      </w:r>
    </w:p>
    <w:p w14:paraId="11300F58" w14:textId="77777777" w:rsidR="00FD48F4" w:rsidRPr="001E230B" w:rsidRDefault="00FD48F4" w:rsidP="00201C5C">
      <w:pPr>
        <w:rPr>
          <w:b/>
          <w:bCs/>
          <w:i/>
          <w:iCs/>
          <w:sz w:val="12"/>
          <w:szCs w:val="12"/>
        </w:rPr>
      </w:pPr>
    </w:p>
    <w:p w14:paraId="0A0469B8" w14:textId="6A8F294B" w:rsidR="00201C5C" w:rsidRPr="00600D40" w:rsidRDefault="00201C5C" w:rsidP="00201C5C">
      <w:r>
        <w:rPr>
          <w:b/>
          <w:bCs/>
          <w:i/>
          <w:iCs/>
        </w:rPr>
        <w:t>Схеми за обратно изкупуване</w:t>
      </w:r>
    </w:p>
    <w:p w14:paraId="78B8060B" w14:textId="77777777" w:rsidR="00FD48F4" w:rsidRPr="001E230B" w:rsidRDefault="00FD48F4" w:rsidP="00201C5C">
      <w:pPr>
        <w:rPr>
          <w:sz w:val="12"/>
          <w:szCs w:val="12"/>
        </w:rPr>
      </w:pPr>
    </w:p>
    <w:p w14:paraId="665879EE" w14:textId="7BC9686D" w:rsidR="00201C5C" w:rsidRPr="00600D40" w:rsidRDefault="00201C5C" w:rsidP="00201C5C">
      <w:r>
        <w:t>6</w:t>
      </w:r>
      <w:r>
        <w:tab/>
        <w:t>При схемите за обратно изкупуване се плаща депозит при придобиване на потенциално замърсяващи продукти. Когато замърсяването бъде избегнато чрез връщане на продуктите или техните остатъци, следва възстановяване на сумата.</w:t>
      </w:r>
    </w:p>
    <w:p w14:paraId="3C2BEC4F" w14:textId="77777777" w:rsidR="00FD48F4" w:rsidRPr="001E230B" w:rsidRDefault="00FD48F4" w:rsidP="00201C5C">
      <w:pPr>
        <w:rPr>
          <w:b/>
          <w:bCs/>
          <w:i/>
          <w:iCs/>
          <w:sz w:val="12"/>
          <w:szCs w:val="12"/>
        </w:rPr>
      </w:pPr>
    </w:p>
    <w:p w14:paraId="6B4A813D" w14:textId="46CCDC4A" w:rsidR="00201C5C" w:rsidRPr="00600D40" w:rsidRDefault="00201C5C" w:rsidP="00201C5C">
      <w:r>
        <w:rPr>
          <w:b/>
          <w:bCs/>
          <w:i/>
          <w:iCs/>
        </w:rPr>
        <w:t>Финансова помощ</w:t>
      </w:r>
    </w:p>
    <w:p w14:paraId="244D02F0" w14:textId="7C155BFA" w:rsidR="00201C5C" w:rsidRDefault="00201C5C" w:rsidP="00201C5C">
      <w:r>
        <w:t>7</w:t>
      </w:r>
      <w:r>
        <w:tab/>
        <w:t>Различни форми на финансова помощ могат да бъдат предоставени на замърсителите като помощ и/или като стимул за намаляване на техните замърсяващи емисии. Като общо правило, финансовата помощ е несъвместима с принципа „замърсителят плаща“, освен в няколко специфични случая, например, когато е в съответствие с изключенията от принципа „замърсителят плаща“, както е определено в двете препоръки на Съвета [C(72)128 и C(74)223] или когато се прилага в рамките на подходящо проектирани преразпределителни системи за таксуване.</w:t>
      </w:r>
    </w:p>
    <w:p w14:paraId="5A767862" w14:textId="77777777" w:rsidR="00FD48F4" w:rsidRPr="00600D40" w:rsidRDefault="00FD48F4" w:rsidP="00201C5C"/>
    <w:p w14:paraId="39767BBE" w14:textId="77777777" w:rsidR="00201C5C" w:rsidRPr="00600D40" w:rsidRDefault="00201C5C" w:rsidP="00201C5C">
      <w:bookmarkStart w:id="2" w:name="_Hlk93485003"/>
      <w:bookmarkEnd w:id="1"/>
      <w:r>
        <w:lastRenderedPageBreak/>
        <w:t>Възможно е също така да има обстоятелства, при които могат да се извършват плащания за подсилване на други мерки, предназначени за постигане на подходящо използване на природните ресурси.</w:t>
      </w:r>
    </w:p>
    <w:p w14:paraId="652E6654" w14:textId="77777777" w:rsidR="00E63C43" w:rsidRPr="001E230B" w:rsidRDefault="00E63C43" w:rsidP="00201C5C">
      <w:pPr>
        <w:rPr>
          <w:b/>
          <w:bCs/>
          <w:sz w:val="6"/>
          <w:szCs w:val="6"/>
        </w:rPr>
      </w:pPr>
    </w:p>
    <w:p w14:paraId="1175F79A" w14:textId="104C964B" w:rsidR="00201C5C" w:rsidRPr="00600D40" w:rsidRDefault="00201C5C" w:rsidP="00201C5C">
      <w:r>
        <w:rPr>
          <w:b/>
          <w:bCs/>
        </w:rPr>
        <w:t>II</w:t>
      </w:r>
      <w:r>
        <w:rPr>
          <w:b/>
          <w:bCs/>
        </w:rPr>
        <w:tab/>
        <w:t>Критерии за избор на инструменти</w:t>
      </w:r>
    </w:p>
    <w:p w14:paraId="0940BD61" w14:textId="77777777" w:rsidR="00E63C43" w:rsidRPr="001E230B" w:rsidRDefault="00E63C43" w:rsidP="00201C5C">
      <w:pPr>
        <w:rPr>
          <w:sz w:val="6"/>
          <w:szCs w:val="6"/>
        </w:rPr>
      </w:pPr>
    </w:p>
    <w:p w14:paraId="75A87EAC" w14:textId="40188F5D" w:rsidR="00201C5C" w:rsidRPr="00600D40" w:rsidRDefault="00201C5C" w:rsidP="00201C5C">
      <w:r>
        <w:t>8</w:t>
      </w:r>
      <w:r>
        <w:tab/>
        <w:t>Икономическите инструменти представляват една категория наред с другите инструменти, предназначени за постигане на екологични цели. Те могат да се използват като заместител или като допълнение към други инструменти на политиката, като регулации и споразумения за сътрудничество с индустрията. В някои случаи, по икономически и административни причини, прякото регулиране и контрол са подходящи, когато например е наложително емисиите на определени токсични замърсители или използването на опасни продукти или вещества да бъдат напълно забранени. В други случаи икономическите инструменти могат да допълват регулациите, за да засилят прилагането на стандартите, предназначени да защитят общественото здраве.</w:t>
      </w:r>
    </w:p>
    <w:p w14:paraId="0F0AE969" w14:textId="77777777" w:rsidR="00E63C43" w:rsidRPr="001E230B" w:rsidRDefault="00E63C43" w:rsidP="00201C5C">
      <w:pPr>
        <w:rPr>
          <w:sz w:val="6"/>
          <w:szCs w:val="6"/>
        </w:rPr>
      </w:pPr>
    </w:p>
    <w:p w14:paraId="5C10815F" w14:textId="13ADD682" w:rsidR="00201C5C" w:rsidRPr="00600D40" w:rsidRDefault="00201C5C" w:rsidP="00201C5C">
      <w:r>
        <w:t>9</w:t>
      </w:r>
      <w:r>
        <w:tab/>
        <w:t>Изборът на инструменти на политиката по среда може да бъде направен според пет групи критерии:</w:t>
      </w:r>
    </w:p>
    <w:p w14:paraId="605B1703" w14:textId="218EB232" w:rsidR="00E63C43" w:rsidRPr="00547115" w:rsidRDefault="00E63C43" w:rsidP="00201C5C">
      <w:pPr>
        <w:rPr>
          <w:sz w:val="6"/>
          <w:szCs w:val="6"/>
        </w:rPr>
      </w:pPr>
    </w:p>
    <w:p w14:paraId="00400124" w14:textId="4A53D928" w:rsidR="00201C5C" w:rsidRDefault="00201C5C" w:rsidP="00E63C43">
      <w:pPr>
        <w:pStyle w:val="ListParagraph"/>
        <w:numPr>
          <w:ilvl w:val="0"/>
          <w:numId w:val="7"/>
        </w:numPr>
      </w:pPr>
      <w:r>
        <w:t>Екологична ефективност: Екологичната ефективност на икономическите инструменти се определя главно от способността на замърсителите да реагират. Основната цел на икономическите инструменти е да осигурят постоянен стимул за намаляване на замърсяването, технически иновации и заместване на продукти.</w:t>
      </w:r>
    </w:p>
    <w:p w14:paraId="01483632" w14:textId="77777777" w:rsidR="00E63C43" w:rsidRPr="00547115" w:rsidRDefault="00E63C43" w:rsidP="00E63C43">
      <w:pPr>
        <w:pStyle w:val="ListParagraph"/>
        <w:ind w:left="1146"/>
        <w:rPr>
          <w:sz w:val="6"/>
          <w:szCs w:val="6"/>
        </w:rPr>
      </w:pPr>
    </w:p>
    <w:p w14:paraId="32787D93" w14:textId="13EDBCC9" w:rsidR="00201C5C" w:rsidRDefault="00201C5C" w:rsidP="00E63C43">
      <w:pPr>
        <w:pStyle w:val="ListParagraph"/>
        <w:numPr>
          <w:ilvl w:val="0"/>
          <w:numId w:val="7"/>
        </w:numPr>
      </w:pPr>
      <w:r>
        <w:t>Икономическа ефективност: В широк смисъл икономическата ефективност се постига чрез оптимално разпределение на ресурсите; в ограничен, но по-оперативен смисъл, това означава, че икономическите разходи за спазване на екологичните изисквания са сведени до минимум.</w:t>
      </w:r>
    </w:p>
    <w:p w14:paraId="227027A3" w14:textId="77777777" w:rsidR="00E63C43" w:rsidRPr="00547115" w:rsidRDefault="00E63C43" w:rsidP="00E63C43">
      <w:pPr>
        <w:pStyle w:val="ListParagraph"/>
        <w:ind w:left="1146"/>
        <w:rPr>
          <w:sz w:val="6"/>
          <w:szCs w:val="6"/>
        </w:rPr>
      </w:pPr>
    </w:p>
    <w:p w14:paraId="53762C6C" w14:textId="5BF3A9EB" w:rsidR="00201C5C" w:rsidRDefault="00201C5C" w:rsidP="00E63C43">
      <w:pPr>
        <w:pStyle w:val="ListParagraph"/>
        <w:numPr>
          <w:ilvl w:val="0"/>
          <w:numId w:val="7"/>
        </w:numPr>
      </w:pPr>
      <w:r>
        <w:t>Собствен капитал: Свързаните с разпределението последици варират в зависимост от видовете прилагани политически инструменти. Например таксите или данъците за замърсяване налагат допълнително заплащане при изхвърляне на „остатъчно“ замърсяване; освен това тяхното разпределително въздействие ще зависи от това как се използват приходите. По същия начин, с емисионните разрешителни, ефектите от разпределението ще се различават в зависимост от първоначалното им задаване.</w:t>
      </w:r>
    </w:p>
    <w:p w14:paraId="2DCA7A55" w14:textId="77777777" w:rsidR="004242F8" w:rsidRPr="00547115" w:rsidRDefault="004242F8" w:rsidP="004242F8">
      <w:pPr>
        <w:pStyle w:val="ListParagraph"/>
        <w:ind w:left="1146"/>
        <w:rPr>
          <w:sz w:val="6"/>
          <w:szCs w:val="6"/>
        </w:rPr>
      </w:pPr>
    </w:p>
    <w:p w14:paraId="7793000D" w14:textId="034726D8" w:rsidR="00201C5C" w:rsidRDefault="00201C5C" w:rsidP="004242F8">
      <w:pPr>
        <w:pStyle w:val="ListParagraph"/>
        <w:numPr>
          <w:ilvl w:val="0"/>
          <w:numId w:val="7"/>
        </w:numPr>
      </w:pPr>
      <w:r>
        <w:t>Административна приложимост и разход: Всички видове политически инструменти включват структури за прилагане и налагане. Това се отнася по-специално до лекотата и разходите за наблюдение на изпусканията и броя на участващите целеви групи, както и до естеството на съществуващите правни и институционални условия.</w:t>
      </w:r>
    </w:p>
    <w:p w14:paraId="712959D9" w14:textId="77777777" w:rsidR="004242F8" w:rsidRPr="00547115" w:rsidRDefault="004242F8" w:rsidP="004242F8">
      <w:pPr>
        <w:pStyle w:val="ListParagraph"/>
        <w:rPr>
          <w:sz w:val="6"/>
          <w:szCs w:val="6"/>
        </w:rPr>
      </w:pPr>
    </w:p>
    <w:p w14:paraId="5D75E43D" w14:textId="0D9536DC" w:rsidR="00201C5C" w:rsidRPr="00600D40" w:rsidRDefault="00201C5C" w:rsidP="004242F8">
      <w:pPr>
        <w:ind w:left="1134" w:hanging="708"/>
      </w:pPr>
      <w:r>
        <w:t>v) Приемливост: От решаващо значение е целевите групи да бъдат информирани и консултирани относно наложените им икономически инструменти. Като цяло, успехът на всеки (икономически) инструмент изисква сигурност и стабилност във времето по отношение на неговите основни елементи.</w:t>
      </w:r>
    </w:p>
    <w:p w14:paraId="51485397" w14:textId="77777777" w:rsidR="004242F8" w:rsidRPr="00547115" w:rsidRDefault="004242F8" w:rsidP="00201C5C">
      <w:pPr>
        <w:rPr>
          <w:sz w:val="6"/>
          <w:szCs w:val="6"/>
        </w:rPr>
      </w:pPr>
    </w:p>
    <w:p w14:paraId="0EC1D932" w14:textId="4AE5144B" w:rsidR="00201C5C" w:rsidRPr="00600D40" w:rsidRDefault="00201C5C" w:rsidP="00201C5C">
      <w:r>
        <w:t>10</w:t>
      </w:r>
      <w:r>
        <w:tab/>
        <w:t>По отношение на избора на конкретни икономически инструменти трябва да се вземат предвид следните елементи:</w:t>
      </w:r>
    </w:p>
    <w:p w14:paraId="10EBD997" w14:textId="77777777" w:rsidR="004242F8" w:rsidRPr="00547115" w:rsidRDefault="004242F8" w:rsidP="00201C5C">
      <w:pPr>
        <w:rPr>
          <w:sz w:val="6"/>
          <w:szCs w:val="6"/>
        </w:rPr>
      </w:pPr>
    </w:p>
    <w:p w14:paraId="3DB60F42" w14:textId="18AF1CAD" w:rsidR="00201C5C" w:rsidRPr="00600D40" w:rsidRDefault="00201C5C" w:rsidP="00201C5C">
      <w:r>
        <w:t>Таксите или данъците за емисии може да се обмислят специално за стационарните източници на замърсяване и където пределните разходи за намаляване на вредните емисии варират при различните замърсители (колкото по-голяма е вариацията, толкова по-голям е потенциалът за спестяване на разходи). Други критерии са: осъществимост на мониторинг на емисиите (чрез директен мониторинг или заместващи променливи); способността на замърсителите да реагират на таксата; способността на публичните органи да разработят последователна рамка за таксите; потенциалът за технически иновации.</w:t>
      </w:r>
    </w:p>
    <w:p w14:paraId="046D77B1" w14:textId="77777777" w:rsidR="004242F8" w:rsidRPr="00547115" w:rsidRDefault="004242F8" w:rsidP="00201C5C">
      <w:pPr>
        <w:rPr>
          <w:sz w:val="6"/>
          <w:szCs w:val="6"/>
        </w:rPr>
      </w:pPr>
    </w:p>
    <w:p w14:paraId="0C742462" w14:textId="430726EF" w:rsidR="00201C5C" w:rsidRPr="00600D40" w:rsidRDefault="00201C5C" w:rsidP="00201C5C">
      <w:r>
        <w:t>Потребителските такси са приложими, когато могат да се експлоатират съоръжения за колективно изхвърляне и пречистване, напр. за отпадъчни води, промишлени и битови отпадъци.</w:t>
      </w:r>
    </w:p>
    <w:bookmarkEnd w:id="2"/>
    <w:p w14:paraId="61206BC5" w14:textId="77777777" w:rsidR="004242F8" w:rsidRDefault="004242F8" w:rsidP="00201C5C"/>
    <w:p w14:paraId="4D5547B0" w14:textId="77777777" w:rsidR="004242F8" w:rsidRDefault="004242F8" w:rsidP="00201C5C"/>
    <w:p w14:paraId="74D22ED6" w14:textId="77777777" w:rsidR="004242F8" w:rsidRDefault="004242F8" w:rsidP="00201C5C"/>
    <w:p w14:paraId="5EA46910" w14:textId="0DDEAD61" w:rsidR="00201C5C" w:rsidRPr="00600D40" w:rsidRDefault="00201C5C" w:rsidP="00201C5C">
      <w:r>
        <w:lastRenderedPageBreak/>
        <w:t>Продуктовите такси или данъци могат да бъдат особено ефективни, когато се прилагат към продукти, които се консумират или използват в големи количества и в модели на разпространение. Продуктите, подлежащи на такса, трябва да бъдат лесно разпознаваеми.</w:t>
      </w:r>
    </w:p>
    <w:p w14:paraId="7B1F9FA5" w14:textId="77777777" w:rsidR="004242F8" w:rsidRPr="00811780" w:rsidRDefault="004242F8" w:rsidP="00201C5C">
      <w:pPr>
        <w:rPr>
          <w:sz w:val="6"/>
          <w:szCs w:val="6"/>
        </w:rPr>
      </w:pPr>
    </w:p>
    <w:p w14:paraId="645F841F" w14:textId="59F730FF" w:rsidR="00201C5C" w:rsidRPr="00600D40" w:rsidRDefault="00201C5C" w:rsidP="00201C5C">
      <w:r>
        <w:t>Схемите за обратно изкупуване могат да бъдат разгледани за продукти или вещества, които могат да бъдат използвани повторно, рециклирани или които трябва да бъдат върнати за унищожаване. Тъй като схемите за обратно изкупуване могат да бъдат скъпи и сложни за работа, важно е продуктите да бъдат лесни за идентифициране и работа, както и потребителите и ползвателите също да имат желание да участват в схемата.</w:t>
      </w:r>
    </w:p>
    <w:p w14:paraId="32DC9154" w14:textId="77777777" w:rsidR="004242F8" w:rsidRPr="00811780" w:rsidRDefault="004242F8" w:rsidP="00201C5C">
      <w:pPr>
        <w:rPr>
          <w:sz w:val="6"/>
          <w:szCs w:val="6"/>
        </w:rPr>
      </w:pPr>
    </w:p>
    <w:p w14:paraId="3F5C7606" w14:textId="073C6432" w:rsidR="00201C5C" w:rsidRPr="00600D40" w:rsidRDefault="00201C5C" w:rsidP="00201C5C">
      <w:r>
        <w:t>Системите за емисионни разрешителни предлагат особени предимства в ситуации, в които: пределните разходи за съответствие с единен стандарт варират значително в рамките на регулираната целева група; когато има фиксирана цел, която човек иска да постигне с минимални икономически разходи; броят на включените източници е достатъчно голям, за да се създаде добре функциониращ, конкурентен пазар за разрешителни в рамките на определен географски район.</w:t>
      </w:r>
    </w:p>
    <w:p w14:paraId="2FE81596" w14:textId="77777777" w:rsidR="004242F8" w:rsidRPr="00811780" w:rsidRDefault="004242F8" w:rsidP="00201C5C">
      <w:pPr>
        <w:rPr>
          <w:b/>
          <w:bCs/>
          <w:sz w:val="6"/>
          <w:szCs w:val="6"/>
        </w:rPr>
      </w:pPr>
    </w:p>
    <w:p w14:paraId="59289912" w14:textId="52C02213" w:rsidR="00201C5C" w:rsidRPr="00600D40" w:rsidRDefault="00201C5C" w:rsidP="00201C5C">
      <w:r>
        <w:rPr>
          <w:b/>
          <w:bCs/>
        </w:rPr>
        <w:t>III.</w:t>
      </w:r>
      <w:r>
        <w:rPr>
          <w:b/>
          <w:bCs/>
        </w:rPr>
        <w:tab/>
        <w:t>Насоки за прилагане на икономически инструменти</w:t>
      </w:r>
    </w:p>
    <w:p w14:paraId="50A5A327" w14:textId="77777777" w:rsidR="004242F8" w:rsidRPr="00811780" w:rsidRDefault="004242F8" w:rsidP="00201C5C">
      <w:pPr>
        <w:rPr>
          <w:sz w:val="6"/>
          <w:szCs w:val="6"/>
        </w:rPr>
      </w:pPr>
    </w:p>
    <w:p w14:paraId="05854007" w14:textId="7590D76F" w:rsidR="00201C5C" w:rsidRPr="00600D40" w:rsidRDefault="00201C5C" w:rsidP="00201C5C">
      <w:r>
        <w:t>11</w:t>
      </w:r>
      <w:r>
        <w:tab/>
        <w:t>Когато се обмисля приемането на икономически инструменти, е важно да се оценят разходите и ползите от всички алтернативи на политиката. По-специално, при разработването, прилагането и налагането на икономически инструменти трябва да се вземат предвид въпросите, определени по-долу.</w:t>
      </w:r>
    </w:p>
    <w:p w14:paraId="6ECD4D3A" w14:textId="77777777" w:rsidR="004242F8" w:rsidRPr="00811780" w:rsidRDefault="004242F8" w:rsidP="00201C5C">
      <w:pPr>
        <w:rPr>
          <w:b/>
          <w:bCs/>
          <w:i/>
          <w:iCs/>
          <w:sz w:val="6"/>
          <w:szCs w:val="6"/>
        </w:rPr>
      </w:pPr>
    </w:p>
    <w:p w14:paraId="63F60304" w14:textId="7D70E34F" w:rsidR="00201C5C" w:rsidRPr="00600D40" w:rsidRDefault="00201C5C" w:rsidP="00201C5C">
      <w:r>
        <w:rPr>
          <w:b/>
          <w:bCs/>
          <w:i/>
          <w:iCs/>
        </w:rPr>
        <w:t>Ясни рамка и цели</w:t>
      </w:r>
    </w:p>
    <w:p w14:paraId="296F490C" w14:textId="77777777" w:rsidR="004242F8" w:rsidRPr="00811780" w:rsidRDefault="004242F8" w:rsidP="00201C5C">
      <w:pPr>
        <w:rPr>
          <w:sz w:val="6"/>
          <w:szCs w:val="6"/>
        </w:rPr>
      </w:pPr>
    </w:p>
    <w:p w14:paraId="6FDE8C50" w14:textId="551889E7" w:rsidR="00201C5C" w:rsidRPr="00600D40" w:rsidRDefault="00201C5C" w:rsidP="00201C5C">
      <w:r>
        <w:t>12</w:t>
      </w:r>
      <w:r>
        <w:tab/>
        <w:t>На първо място, рамката и целите на икономическия инструмент трябва да са ясни. По-специално следва да се посочат следните точки: дали икономическият инструмент действа в комбинация със или като алтернатива на прякото регулиране; дали предхожда регламентите, за да се ускори спазването им; дали приходите се използват за общи цели или са предназначени за конкретни екологични или други мерки. В случай на такси или данъци, целта за предоставяне на стимули не трябва да се бърка с целта за набиране на приходи.</w:t>
      </w:r>
    </w:p>
    <w:p w14:paraId="41E05143" w14:textId="77777777" w:rsidR="004242F8" w:rsidRPr="00811780" w:rsidRDefault="004242F8" w:rsidP="00201C5C">
      <w:pPr>
        <w:rPr>
          <w:b/>
          <w:bCs/>
          <w:i/>
          <w:iCs/>
          <w:sz w:val="6"/>
          <w:szCs w:val="6"/>
        </w:rPr>
      </w:pPr>
    </w:p>
    <w:p w14:paraId="47B9CD6D" w14:textId="2D521AF1" w:rsidR="00201C5C" w:rsidRPr="00600D40" w:rsidRDefault="00201C5C" w:rsidP="00201C5C">
      <w:r>
        <w:rPr>
          <w:b/>
          <w:bCs/>
          <w:i/>
          <w:iCs/>
        </w:rPr>
        <w:t>Добре дефинирано поле на действие</w:t>
      </w:r>
    </w:p>
    <w:p w14:paraId="1DE0EF99" w14:textId="77777777" w:rsidR="004242F8" w:rsidRPr="00811780" w:rsidRDefault="004242F8" w:rsidP="00201C5C">
      <w:pPr>
        <w:rPr>
          <w:sz w:val="6"/>
          <w:szCs w:val="6"/>
        </w:rPr>
      </w:pPr>
    </w:p>
    <w:p w14:paraId="3E0AABE2" w14:textId="559A5CA4" w:rsidR="00201C5C" w:rsidRPr="00600D40" w:rsidRDefault="00201C5C" w:rsidP="00201C5C">
      <w:r>
        <w:t>13</w:t>
      </w:r>
      <w:r>
        <w:tab/>
        <w:t>Полето на действие трябва да бъде ясно дефинирано. Това включва замърсители, процеси или продукти, към които се прилагат икономически инструменти. Освен това трябва да има информация за целевите групи по отношение на техния брой, размер, принос към съответния проблем и начина, по който замърсяват (точкови/неточкови източници, мобилни/стационарни източници), финансови възможности, начин на организация и вероятност да реагират (структура на индустрията, поведение на фирмите, технологични характеристики и т.н.). Изискванията за информация обаче не трябва да са прекомерни.</w:t>
      </w:r>
    </w:p>
    <w:p w14:paraId="1B22B086" w14:textId="77777777" w:rsidR="004242F8" w:rsidRPr="00811780" w:rsidRDefault="004242F8" w:rsidP="00201C5C">
      <w:pPr>
        <w:rPr>
          <w:b/>
          <w:bCs/>
          <w:i/>
          <w:iCs/>
          <w:sz w:val="6"/>
          <w:szCs w:val="6"/>
        </w:rPr>
      </w:pPr>
    </w:p>
    <w:p w14:paraId="3A70DC69" w14:textId="59548943" w:rsidR="00201C5C" w:rsidRPr="00600D40" w:rsidRDefault="00201C5C" w:rsidP="00201C5C">
      <w:r>
        <w:rPr>
          <w:b/>
          <w:bCs/>
          <w:i/>
          <w:iCs/>
        </w:rPr>
        <w:t>Прост режим на работа</w:t>
      </w:r>
    </w:p>
    <w:p w14:paraId="1138E147" w14:textId="77777777" w:rsidR="004242F8" w:rsidRPr="00811780" w:rsidRDefault="004242F8" w:rsidP="00201C5C">
      <w:pPr>
        <w:rPr>
          <w:sz w:val="6"/>
          <w:szCs w:val="6"/>
        </w:rPr>
      </w:pPr>
    </w:p>
    <w:p w14:paraId="16C483C9" w14:textId="4E272D5F" w:rsidR="00201C5C" w:rsidRDefault="00201C5C" w:rsidP="00201C5C">
      <w:r>
        <w:t>14</w:t>
      </w:r>
      <w:r>
        <w:tab/>
        <w:t>Простотата и яснотата на режима на работа са от първостепенно значение и определят до голяма степен административната ефективност на икономическия инструмент. Това е свързано с техническите характеристики на икономическия инструмент: формули и изчисляване на таксата, изчисляване на кредити за намаляване на емисиите (в случай на емисионни разрешителни) и т.н. Това също се отнася, по отношение на нови органи (или във връзка със съществуващите данъчни служби), за административните изисквания, начина, по който ще се извършва мониторингът и подробностите за фактурирането и контрола. По отношение на „структурата“ на всеки икономически инструмент трябва да има фин баланс между ненужната сложност, която прави инструмента труден за прилагане, и прекомерната простота, което може да означава, че той не е много ефективен. Количеството информация, необходимо за правилното функциониране на всеки инструмент, е от решаващо значение за неговия успех. Икономическите инструменти, целящи да накарат замърсителите да намалят своите емисии, вероятно ще бъдат по-сложни от тези, предназначени само за набиране на приходи. Простотата или сложността на режима на работа е свързана основно с процедурите за изчисляване и фактуриране (вижте по-долу). Освен това, прилагането на прекомерен брой различни икономически инструменти може да доведе до объркващи ценови сигнали и да се окаже контрапродуктивно в дългосрочен план.</w:t>
      </w:r>
    </w:p>
    <w:p w14:paraId="5004616A" w14:textId="77777777" w:rsidR="004242F8" w:rsidRPr="00600D40" w:rsidRDefault="004242F8" w:rsidP="00201C5C"/>
    <w:p w14:paraId="0C006F1E" w14:textId="77777777" w:rsidR="00201C5C" w:rsidRPr="00600D40" w:rsidRDefault="00201C5C" w:rsidP="00201C5C">
      <w:r>
        <w:lastRenderedPageBreak/>
        <w:t>15</w:t>
      </w:r>
      <w:r>
        <w:tab/>
        <w:t>За таксите или данъците за емисии съществуват три начина за изчисление: 1) мониторинг на действителните изпускания; 2) на базата на таблица; 3) фиксирана ставка. Мониторингът може да се извършва или от отговорния административен орган на годишна или по-честа база, или от замърсителя чрез годишни (или по-чести) отчети. Самоконтролът е по-евтин, но изисква периодичен контрол. Мониторингът е препоръчителен за големи замърсители. Изчисляването на таксата или данъка на базата на таблица е единична операция, като се вземат предвид общи показатели като характеристиките на процеса на фирмата.</w:t>
      </w:r>
    </w:p>
    <w:p w14:paraId="37DE5E8C" w14:textId="77777777" w:rsidR="004242F8" w:rsidRPr="00811780" w:rsidRDefault="004242F8" w:rsidP="00201C5C">
      <w:pPr>
        <w:rPr>
          <w:sz w:val="6"/>
          <w:szCs w:val="6"/>
        </w:rPr>
      </w:pPr>
    </w:p>
    <w:p w14:paraId="07B3951D" w14:textId="3AF3D926" w:rsidR="00201C5C" w:rsidRPr="00600D40" w:rsidRDefault="00201C5C" w:rsidP="00201C5C">
      <w:r>
        <w:t>16</w:t>
      </w:r>
      <w:r>
        <w:tab/>
        <w:t>За продуктови такси или данъци ставките са фиксирани. Събирането на приходите може лесно да се побере в рамките на съществуващите фискални канали. Подходящите данъчни системи (акцизи, данък върху добавената стойност) могат да бъдат ефективни структури. Трябва да се избягва фактурирането на множество продуктови такси или данъци на ниво търговци на дребно. Производителите и вносителите са по-малко и следователно могат да бъдат по-ефективно администрирани и по-лесно контролирани.</w:t>
      </w:r>
    </w:p>
    <w:p w14:paraId="252FAA7D" w14:textId="77777777" w:rsidR="004242F8" w:rsidRPr="00811780" w:rsidRDefault="004242F8" w:rsidP="00201C5C">
      <w:pPr>
        <w:rPr>
          <w:sz w:val="6"/>
          <w:szCs w:val="6"/>
        </w:rPr>
      </w:pPr>
    </w:p>
    <w:p w14:paraId="0F6C2A64" w14:textId="68DDEF3B" w:rsidR="00201C5C" w:rsidRPr="00600D40" w:rsidRDefault="00201C5C" w:rsidP="00201C5C">
      <w:r>
        <w:t>17</w:t>
      </w:r>
      <w:r>
        <w:tab/>
        <w:t>За емисионните разрешителни трябва ясно да се уточнят сложни въпроси като първоначалното разпределение на квотите за емисии (по такъв начин, че да се сведат до минимум бариерите пред свободното навлизане в индустрията), наблюдението и определянето на постоянни или намаляващи тавани за емисии. Освен това, когато целта е нетно намаляване на сумарните изпускания, трябва да се предвидят разпоредби по отношение на новите участници на пазара.</w:t>
      </w:r>
    </w:p>
    <w:p w14:paraId="5B4C0A12" w14:textId="77777777" w:rsidR="004242F8" w:rsidRPr="00811780" w:rsidRDefault="004242F8" w:rsidP="00201C5C">
      <w:pPr>
        <w:rPr>
          <w:b/>
          <w:bCs/>
          <w:i/>
          <w:iCs/>
          <w:sz w:val="6"/>
          <w:szCs w:val="6"/>
        </w:rPr>
      </w:pPr>
    </w:p>
    <w:p w14:paraId="43A3024A" w14:textId="30AC4126" w:rsidR="00201C5C" w:rsidRPr="00600D40" w:rsidRDefault="00201C5C" w:rsidP="00201C5C">
      <w:r>
        <w:rPr>
          <w:b/>
          <w:bCs/>
          <w:i/>
          <w:iCs/>
        </w:rPr>
        <w:t>Приемливост</w:t>
      </w:r>
    </w:p>
    <w:p w14:paraId="0A84840A" w14:textId="77777777" w:rsidR="004242F8" w:rsidRPr="00811780" w:rsidRDefault="004242F8" w:rsidP="00201C5C">
      <w:pPr>
        <w:rPr>
          <w:sz w:val="6"/>
          <w:szCs w:val="6"/>
        </w:rPr>
      </w:pPr>
    </w:p>
    <w:p w14:paraId="5F9BA10E" w14:textId="474B8BA9" w:rsidR="00201C5C" w:rsidRDefault="00201C5C" w:rsidP="00201C5C">
      <w:r>
        <w:t>18.</w:t>
      </w:r>
      <w:r>
        <w:tab/>
        <w:t>Приемливостта се увеличава, като се вземат предвид следните елементи:</w:t>
      </w:r>
    </w:p>
    <w:p w14:paraId="3839B3CD" w14:textId="77777777" w:rsidR="004242F8" w:rsidRPr="00811780" w:rsidRDefault="004242F8" w:rsidP="00201C5C">
      <w:pPr>
        <w:rPr>
          <w:sz w:val="6"/>
          <w:szCs w:val="6"/>
        </w:rPr>
      </w:pPr>
    </w:p>
    <w:p w14:paraId="707E7D8F" w14:textId="18B39E69" w:rsidR="00201C5C" w:rsidRDefault="00201C5C" w:rsidP="004242F8">
      <w:pPr>
        <w:ind w:left="851" w:hanging="425"/>
      </w:pPr>
      <w:r>
        <w:t>● Разпространена адекватна информация до целевите групи относно аспекти на новия инструмент, които могат да ги засегнат. Важни характеристики са предназначението и техническите характеристики на инструмента, финансовите последици, времето на въвеждане, възможните бъдещи корекции и др. Важно е навременното обявяване на новите елементи. Целевите групи също трябва да са наясно с взаимовръзките между различните области на политиката.</w:t>
      </w:r>
    </w:p>
    <w:p w14:paraId="3DD0DAF1" w14:textId="77777777" w:rsidR="004242F8" w:rsidRPr="00811780" w:rsidRDefault="004242F8" w:rsidP="004242F8">
      <w:pPr>
        <w:ind w:left="851" w:hanging="425"/>
        <w:rPr>
          <w:sz w:val="6"/>
          <w:szCs w:val="6"/>
        </w:rPr>
      </w:pPr>
    </w:p>
    <w:p w14:paraId="3FA3D13C" w14:textId="365C1E38" w:rsidR="00201C5C" w:rsidRDefault="00201C5C" w:rsidP="004242F8">
      <w:pPr>
        <w:ind w:left="851" w:hanging="425"/>
      </w:pPr>
      <w:r>
        <w:t>● Доколкото е възможно, трябва да се провеждат консултации с целевите групи относно прилагането на инструментите. По-специално, за да се намали несигурността и да се гарантира стабилен политически контекст, големи модификации или планове трябва да бъдат обсъдени с представители на организациите или други разпръснати целеви групи (индустрия, фермери, потребители и т.н.). Инструментите за интерфейса на различни области на политиката трябва да бъдат представени на всички заинтересовани страни.</w:t>
      </w:r>
    </w:p>
    <w:p w14:paraId="07000BE9" w14:textId="77777777" w:rsidR="004242F8" w:rsidRPr="00811780" w:rsidRDefault="004242F8" w:rsidP="004242F8">
      <w:pPr>
        <w:ind w:left="851" w:hanging="425"/>
        <w:rPr>
          <w:sz w:val="6"/>
          <w:szCs w:val="6"/>
        </w:rPr>
      </w:pPr>
    </w:p>
    <w:p w14:paraId="0A9EAF0F" w14:textId="14EBD521" w:rsidR="00201C5C" w:rsidRPr="00600D40" w:rsidRDefault="00201C5C" w:rsidP="004242F8">
      <w:pPr>
        <w:ind w:left="851" w:hanging="425"/>
      </w:pPr>
      <w:r>
        <w:t>● Прилагането на новите икономически инструменти трябва да бъде предшествано от подходящ период на очакване и навременни съобщения. Когато е уместно, прилагането също трябва да бъде прогресивно, особено по отношение на таксите или данъците за емисии и емисионните разрешителни, за да се даде възможност на замърсителите да се адаптират и да избегнат прекомерно бързо увеличаване на финансовите тежести (напр. ставките на таксите за замърсяване могат да се повишават постепенно до желаното ниво).</w:t>
      </w:r>
    </w:p>
    <w:p w14:paraId="76699520" w14:textId="77777777" w:rsidR="004242F8" w:rsidRPr="00811780" w:rsidRDefault="004242F8" w:rsidP="00201C5C">
      <w:pPr>
        <w:rPr>
          <w:b/>
          <w:bCs/>
          <w:i/>
          <w:iCs/>
          <w:sz w:val="6"/>
          <w:szCs w:val="6"/>
        </w:rPr>
      </w:pPr>
    </w:p>
    <w:p w14:paraId="04AE9823" w14:textId="3EB30F95" w:rsidR="00201C5C" w:rsidRPr="00600D40" w:rsidRDefault="00201C5C" w:rsidP="00201C5C">
      <w:r>
        <w:rPr>
          <w:b/>
          <w:bCs/>
          <w:i/>
          <w:iCs/>
        </w:rPr>
        <w:t>Интеграция със секторни политики</w:t>
      </w:r>
    </w:p>
    <w:p w14:paraId="2C2DACDF" w14:textId="77777777" w:rsidR="004242F8" w:rsidRPr="00811780" w:rsidRDefault="004242F8" w:rsidP="00201C5C">
      <w:pPr>
        <w:rPr>
          <w:sz w:val="6"/>
          <w:szCs w:val="6"/>
        </w:rPr>
      </w:pPr>
    </w:p>
    <w:p w14:paraId="390F2758" w14:textId="4B8AF033" w:rsidR="00201C5C" w:rsidRPr="00600D40" w:rsidRDefault="00201C5C" w:rsidP="00201C5C">
      <w:r>
        <w:t>19.</w:t>
      </w:r>
      <w:r>
        <w:tab/>
        <w:t>Икономическите инструменти следва да бъдат проектирани така, че да улеснят интегрирането на политиката по околната среда с други политики, по-специално чрез подходящо адаптиране на ценообразуването и фискалните структури на различните икономически сектори, за да съответстват на целите за околната среда. Премахването и коригирането на неуспехите на правителствената намеса, като изкривяване на субсидиите в селскостопанската област или неправилно ценообразуване на транспортните инфраструктури, горива и услуги, са от изключително значение за правилното интегриране на политиките в областта на околната среда със секторните политики. Една от основните цели на икономическите инструменти е да гарантират, че цените на стоките и услугите наистина отразяват свързаните с тях разходи за околната среда. Това може да се постигне само ако първо се отстранят неуспехите на интервенцията.</w:t>
      </w:r>
    </w:p>
    <w:p w14:paraId="100F94DE" w14:textId="77777777" w:rsidR="004242F8" w:rsidRDefault="004242F8" w:rsidP="00201C5C">
      <w:pPr>
        <w:rPr>
          <w:b/>
          <w:bCs/>
          <w:i/>
          <w:iCs/>
        </w:rPr>
      </w:pPr>
    </w:p>
    <w:p w14:paraId="15653064" w14:textId="725E1538" w:rsidR="00201C5C" w:rsidRPr="00600D40" w:rsidRDefault="00201C5C" w:rsidP="00201C5C">
      <w:r>
        <w:rPr>
          <w:b/>
          <w:bCs/>
          <w:i/>
          <w:iCs/>
        </w:rPr>
        <w:lastRenderedPageBreak/>
        <w:t>Работна сила и разходи за изпълнение</w:t>
      </w:r>
    </w:p>
    <w:p w14:paraId="48B734BD" w14:textId="77777777" w:rsidR="004242F8" w:rsidRPr="00811780" w:rsidRDefault="004242F8" w:rsidP="00201C5C">
      <w:pPr>
        <w:rPr>
          <w:sz w:val="6"/>
          <w:szCs w:val="6"/>
        </w:rPr>
      </w:pPr>
    </w:p>
    <w:p w14:paraId="65FE2280" w14:textId="07F12222" w:rsidR="00201C5C" w:rsidRPr="00600D40" w:rsidRDefault="00201C5C" w:rsidP="00201C5C">
      <w:r>
        <w:t>20.</w:t>
      </w:r>
      <w:r>
        <w:tab/>
        <w:t>Прекомерните транзакционни разходи трябва да се избягват за правоприлагащите органи, индустрията и физическите лица. Икономическата ефективност на механизмите за прилагане и налагане трябва да бъде внимателно оценена. Използването на съществуващи канали за налагане и системи за фактуриране може да доведе до значителни икономии на разходи.</w:t>
      </w:r>
    </w:p>
    <w:p w14:paraId="3A771492" w14:textId="77777777" w:rsidR="004242F8" w:rsidRPr="00811780" w:rsidRDefault="004242F8" w:rsidP="00201C5C">
      <w:pPr>
        <w:rPr>
          <w:b/>
          <w:bCs/>
          <w:i/>
          <w:iCs/>
          <w:sz w:val="6"/>
          <w:szCs w:val="6"/>
        </w:rPr>
      </w:pPr>
    </w:p>
    <w:p w14:paraId="617E6EDA" w14:textId="376F0DF4" w:rsidR="00201C5C" w:rsidRPr="00600D40" w:rsidRDefault="00201C5C" w:rsidP="00201C5C">
      <w:r>
        <w:rPr>
          <w:b/>
          <w:bCs/>
          <w:i/>
          <w:iCs/>
        </w:rPr>
        <w:t>Оценка на икономическите последици и свързаните с разпределението последици</w:t>
      </w:r>
    </w:p>
    <w:p w14:paraId="5999E734" w14:textId="77777777" w:rsidR="004242F8" w:rsidRPr="00811780" w:rsidRDefault="004242F8" w:rsidP="00201C5C">
      <w:pPr>
        <w:rPr>
          <w:sz w:val="6"/>
          <w:szCs w:val="6"/>
        </w:rPr>
      </w:pPr>
    </w:p>
    <w:p w14:paraId="4A6F7FAE" w14:textId="055CF118" w:rsidR="00201C5C" w:rsidRPr="00600D40" w:rsidRDefault="00201C5C" w:rsidP="00201C5C">
      <w:r>
        <w:t>21.</w:t>
      </w:r>
      <w:r>
        <w:tab/>
        <w:t>Трябва да се разграничат няколко аспекта. Първо, на микроравнище може да се наложи конкретни (групи) предприятия да се сблъскат със значителни разходи за кратък период от време, което може да застраши непрекъсваемостта. От друга страна, на по-макро ниво, съответният инструмент ще установи ефективни решения в дългосрочен план, ако е правилно дефиниран. При сравняване на общата дългосрочна ефективност и специфичните краткосрочни проблеми могат да бъдат приети мерки за временна финансова помощ за облекчаване на проблемите на прехода, при условие че съответните фирми са основно икономически стабилни, дори когато поемат екологични разходи. Прилагането на временни мерки е икономически по-желателно от предоставянето на изключения за инструмента. Трябва да се вземат предвид положителните икономически последици от икономическите инструменти: например търговията с емисии позволява постоянен икономически растеж, който би бил възпрепятстван при стриктно пряко регулиране. Стимулиращите такси или данъци (но също и прякото регулиране) могат да предизвикат технологични иновации, които могат да създадат нови пазари и да генерират нови продукти.</w:t>
      </w:r>
    </w:p>
    <w:p w14:paraId="58B758AF" w14:textId="77777777" w:rsidR="004242F8" w:rsidRPr="00811780" w:rsidRDefault="004242F8" w:rsidP="00201C5C">
      <w:pPr>
        <w:rPr>
          <w:sz w:val="6"/>
          <w:szCs w:val="6"/>
        </w:rPr>
      </w:pPr>
    </w:p>
    <w:p w14:paraId="328211ED" w14:textId="0047ACA8" w:rsidR="00201C5C" w:rsidRPr="00600D40" w:rsidRDefault="00201C5C" w:rsidP="00201C5C">
      <w:r>
        <w:t>22.</w:t>
      </w:r>
      <w:r>
        <w:tab/>
        <w:t>На практика съществуват два подхода за прилагане на икономическите инструменти чрез фискалната система. Един подход е да се въведат нови продуктови данъци или такси, например да се наложат специфични екологични данъци („екоданъци“) върху замърсяващи продукти и вещества, като горива, пестициди, моторни превозни средства, контейнери за напитки. Друг подход е адаптирането на съществуващите данъчни системи към екологичните цели. Това изисква преди всичко преструктуриране на съществуващите данъци, които предизвикват вредно въздействие върху околната среда (например, когато съществуващите данъци насърчават използването на замърсяващи, а не на „чисти“ продукти). Икономическите инструменти могат да генерират значителни приходи. Едно възможно решение е, когато е уместно, предвид ситуацията, която преобладава във всяка страна, да се балансира въвеждането на нов данък с намаляването на съществуващите, за да се избегне допълнителна фискална тежест за икономиката. Като алтернатива, приходите, получени от икономически инструменти, биха могли да допринесат за укрепване на бюджета.</w:t>
      </w:r>
    </w:p>
    <w:p w14:paraId="232F0DDE" w14:textId="77777777" w:rsidR="000F6C0C" w:rsidRPr="00811780" w:rsidRDefault="000F6C0C" w:rsidP="00201C5C">
      <w:pPr>
        <w:rPr>
          <w:b/>
          <w:bCs/>
          <w:i/>
          <w:iCs/>
          <w:sz w:val="6"/>
          <w:szCs w:val="6"/>
        </w:rPr>
      </w:pPr>
    </w:p>
    <w:p w14:paraId="42F67129" w14:textId="69EC2407" w:rsidR="00201C5C" w:rsidRPr="00600D40" w:rsidRDefault="00201C5C" w:rsidP="00201C5C">
      <w:r>
        <w:rPr>
          <w:b/>
          <w:bCs/>
          <w:i/>
          <w:iCs/>
        </w:rPr>
        <w:t>Съответствие с общите принципи на националната и международната търговска, фискална и екологична политика</w:t>
      </w:r>
    </w:p>
    <w:p w14:paraId="5D330964" w14:textId="77777777" w:rsidR="000F6C0C" w:rsidRPr="00811780" w:rsidRDefault="000F6C0C" w:rsidP="00201C5C">
      <w:pPr>
        <w:rPr>
          <w:sz w:val="6"/>
          <w:szCs w:val="6"/>
        </w:rPr>
      </w:pPr>
    </w:p>
    <w:p w14:paraId="0360175A" w14:textId="5F33B1A6" w:rsidR="00201C5C" w:rsidRPr="00600D40" w:rsidRDefault="00201C5C" w:rsidP="00201C5C">
      <w:r>
        <w:t>23.</w:t>
      </w:r>
      <w:r>
        <w:tab/>
        <w:t>При прилагането на икономически инструменти е необходимо да се спазват съществуващите общи споразумения и принципи на екологичната политика както на национално, така и на международно ниво. Един от най-важните от тях е принципът „замърсителят плаща“. Икономическите инструменти, с изключение на финансовата помощ, очевидно са в съответствие с този принцип. Принципите, произтичащи от търговските споразумения (напр. ГАТТ), също трябва да се спазват. При въвеждането на икономически инструменти трябва да се избягват нелоялната конкуренция и нарушаването на международната търговия. Таксите или данъците върху крайните продукти не трябва да правят разлика между местни и вносни продукти.</w:t>
      </w:r>
    </w:p>
    <w:p w14:paraId="2906E2A5" w14:textId="77777777" w:rsidR="000F6C0C" w:rsidRPr="00811780" w:rsidRDefault="000F6C0C" w:rsidP="00201C5C">
      <w:pPr>
        <w:rPr>
          <w:sz w:val="6"/>
          <w:szCs w:val="6"/>
        </w:rPr>
      </w:pPr>
    </w:p>
    <w:p w14:paraId="186C88ED" w14:textId="09FC243D" w:rsidR="00201C5C" w:rsidRPr="00600D40" w:rsidRDefault="00201C5C" w:rsidP="00201C5C">
      <w:r>
        <w:t>24.</w:t>
      </w:r>
      <w:r>
        <w:tab/>
        <w:t>Икономическите инструменти трябва да са в съответствие със съществуващите политически, административни, съдебни и фискални структури. Ако въвеждането на икономически инструменти не се вписва в съществуващите рамки или изисква тяхната промяна, реалното прилагане ще бъде по-сложно и трудно. Тъй като в много случаи икономическите инструменти имат фискален характер, тяхната съвместимост със съществуващите фискални системи е особено важна. Когато се обмислят големи данъчни реформи или дерегулация, следва да се проучи възможната роля на икономическите инструменти в тези нови рамки.</w:t>
      </w:r>
    </w:p>
    <w:p w14:paraId="74D643F9" w14:textId="77777777" w:rsidR="000F6C0C" w:rsidRDefault="000F6C0C" w:rsidP="00201C5C"/>
    <w:p w14:paraId="5A444F7E" w14:textId="77777777" w:rsidR="000F6C0C" w:rsidRDefault="000F6C0C" w:rsidP="00201C5C"/>
    <w:p w14:paraId="16CDAC8A" w14:textId="4031FDA9" w:rsidR="00201C5C" w:rsidRPr="00600D40" w:rsidRDefault="00201C5C" w:rsidP="00201C5C">
      <w:r>
        <w:lastRenderedPageBreak/>
        <w:t>25.</w:t>
      </w:r>
      <w:r>
        <w:tab/>
        <w:t>Когато се разглежда международната хармонизация на икономическите инструменти, трябва да бъдат взети предвид различните условия на околната среда, икономическата ситуация и фискалните структури в участващите страни.</w:t>
      </w:r>
    </w:p>
    <w:p w14:paraId="2586D38F" w14:textId="77777777" w:rsidR="000F6C0C" w:rsidRPr="00746639" w:rsidRDefault="000F6C0C" w:rsidP="00201C5C">
      <w:pPr>
        <w:rPr>
          <w:b/>
          <w:bCs/>
          <w:sz w:val="16"/>
          <w:szCs w:val="16"/>
        </w:rPr>
      </w:pPr>
    </w:p>
    <w:p w14:paraId="6B60E5B3" w14:textId="4368C628" w:rsidR="00201C5C" w:rsidRPr="00600D40" w:rsidRDefault="00201C5C" w:rsidP="00201C5C">
      <w:r>
        <w:rPr>
          <w:b/>
          <w:bCs/>
        </w:rPr>
        <w:t>IV.</w:t>
      </w:r>
      <w:r>
        <w:rPr>
          <w:b/>
          <w:bCs/>
        </w:rPr>
        <w:tab/>
        <w:t>Области на възможно приложение на икономически инструменти</w:t>
      </w:r>
    </w:p>
    <w:p w14:paraId="79643D38" w14:textId="77777777" w:rsidR="000F6C0C" w:rsidRPr="00746639" w:rsidRDefault="000F6C0C" w:rsidP="00201C5C">
      <w:pPr>
        <w:rPr>
          <w:b/>
          <w:bCs/>
          <w:i/>
          <w:iCs/>
          <w:sz w:val="16"/>
          <w:szCs w:val="16"/>
        </w:rPr>
      </w:pPr>
    </w:p>
    <w:p w14:paraId="7F58ED5F" w14:textId="406EE56C" w:rsidR="00201C5C" w:rsidRPr="00600D40" w:rsidRDefault="00201C5C" w:rsidP="00201C5C">
      <w:r>
        <w:rPr>
          <w:b/>
          <w:bCs/>
          <w:i/>
          <w:iCs/>
        </w:rPr>
        <w:t>Замърсяване на водите</w:t>
      </w:r>
    </w:p>
    <w:p w14:paraId="6F208C32" w14:textId="77777777" w:rsidR="000F6C0C" w:rsidRPr="00746639" w:rsidRDefault="000F6C0C" w:rsidP="00201C5C">
      <w:pPr>
        <w:rPr>
          <w:sz w:val="16"/>
          <w:szCs w:val="16"/>
        </w:rPr>
      </w:pPr>
    </w:p>
    <w:p w14:paraId="119764B4" w14:textId="158D7725" w:rsidR="00201C5C" w:rsidRPr="00600D40" w:rsidRDefault="00201C5C" w:rsidP="00201C5C">
      <w:r>
        <w:t>26.</w:t>
      </w:r>
      <w:r>
        <w:tab/>
        <w:t>Замърсяването на водите е особено податливо на емисионни (отпадни води) и потребителски такси или данъци, тъй като изхвърлянето на отпадъчни води от стационарни източници е относително лесно за мониторинг.</w:t>
      </w:r>
    </w:p>
    <w:p w14:paraId="38C8B2DC" w14:textId="77777777" w:rsidR="000F6C0C" w:rsidRPr="00746639" w:rsidRDefault="000F6C0C" w:rsidP="00201C5C">
      <w:pPr>
        <w:rPr>
          <w:sz w:val="16"/>
          <w:szCs w:val="16"/>
        </w:rPr>
      </w:pPr>
    </w:p>
    <w:p w14:paraId="77FF055C" w14:textId="4EAF5E7D" w:rsidR="00201C5C" w:rsidRPr="00600D40" w:rsidRDefault="00201C5C" w:rsidP="00201C5C">
      <w:r>
        <w:t>27.</w:t>
      </w:r>
      <w:r>
        <w:tab/>
        <w:t>Продуктови такси или данъци могат да се прилагат в случай на продукти, които ще замърсят повърхностните или подземните води преди, по време или след консумация. Примери за възможни приложения се отнасят до перилни препарати, торове и пестициди. Ако целта на продуктовата такса или данъка е да обезкуражи потреблението, количеството на консумираните продукти трябва да бъде силно чувствително към цените. Наличието на по-чисти заместители може значително да увеличи успеха на продуктовите такси или диференцираните данъци (като перилни препарати със и без фосфати). Продуктовите такси или данъци могат също да се използват като заместител на таксите или данъците за емисии (напр. такса за използване на замърсяващи продукти в производствените процеси).</w:t>
      </w:r>
    </w:p>
    <w:p w14:paraId="539F7E5E" w14:textId="77777777" w:rsidR="000F6C0C" w:rsidRPr="00746639" w:rsidRDefault="000F6C0C" w:rsidP="00201C5C">
      <w:pPr>
        <w:rPr>
          <w:sz w:val="16"/>
          <w:szCs w:val="16"/>
        </w:rPr>
      </w:pPr>
    </w:p>
    <w:p w14:paraId="0D7D8E90" w14:textId="06826669" w:rsidR="00201C5C" w:rsidRPr="00600D40" w:rsidRDefault="00201C5C" w:rsidP="00201C5C">
      <w:r>
        <w:t>28.</w:t>
      </w:r>
      <w:r>
        <w:tab/>
        <w:t>Емисионните разрешителни могат да се прилагат за точкови източници, както и за комбинации от точкови и неточкови източници. При ситуации на точков/неточков източник, точковите източници биха могли да получат допълнителни права чрез намаляване на тежестта на замърсяването от неточкови източници.</w:t>
      </w:r>
    </w:p>
    <w:p w14:paraId="612DB49E" w14:textId="77777777" w:rsidR="000F6C0C" w:rsidRPr="00746639" w:rsidRDefault="000F6C0C" w:rsidP="00201C5C">
      <w:pPr>
        <w:rPr>
          <w:sz w:val="16"/>
          <w:szCs w:val="16"/>
        </w:rPr>
      </w:pPr>
    </w:p>
    <w:p w14:paraId="24D2F2C5" w14:textId="28BFCD24" w:rsidR="00201C5C" w:rsidRPr="00600D40" w:rsidRDefault="00201C5C" w:rsidP="00201C5C">
      <w:r>
        <w:t>29.</w:t>
      </w:r>
      <w:r>
        <w:tab/>
        <w:t>Схемите за обратно изкупуване могат да играят непряка роля в управлението на водите. Много потенциално замърсяващи вещества (например пестициди) са опаковани в контейнери, които не подлежат на връщане. При изхвърлянето на контейнерите остатъците от тези вещества се отделят в околната среда и могат да замърсят повърхностните и подпочвените води. Такива остатъци могат да бъдат правилно обработени, когато контейнерите се върнат на производителя.</w:t>
      </w:r>
    </w:p>
    <w:p w14:paraId="3EBD4032" w14:textId="77777777" w:rsidR="000F6C0C" w:rsidRPr="00746639" w:rsidRDefault="000F6C0C" w:rsidP="00201C5C">
      <w:pPr>
        <w:rPr>
          <w:sz w:val="16"/>
          <w:szCs w:val="16"/>
        </w:rPr>
      </w:pPr>
    </w:p>
    <w:p w14:paraId="4BB83BD8" w14:textId="317709BC" w:rsidR="00201C5C" w:rsidRPr="00600D40" w:rsidRDefault="00201C5C" w:rsidP="00201C5C">
      <w:r>
        <w:t>30.</w:t>
      </w:r>
      <w:r>
        <w:tab/>
        <w:t>Замърсителите, които се изхвърлят в големи количества от много изпускатели и които са лесни за изчисляване или мониторинг или за които съществува общ знаменател (BOD, COD), могат по-лесно да бъдат подложени на такси или данъци за емисии, отколкото замърсители, които се срещат в голямо разнообразие и малки количества (тежки метали, токсични вещества). За последното могат да се вземат предвид продуктови такси или данъци. Поради сложността на въпроса е необходим многофазен подход, като се започне от онези замърсители, които са най-лесни за справяне и водят до съществени подобрения.</w:t>
      </w:r>
    </w:p>
    <w:p w14:paraId="32E1FE52" w14:textId="77777777" w:rsidR="000F6C0C" w:rsidRPr="00746639" w:rsidRDefault="000F6C0C" w:rsidP="00201C5C">
      <w:pPr>
        <w:rPr>
          <w:sz w:val="16"/>
          <w:szCs w:val="16"/>
        </w:rPr>
      </w:pPr>
    </w:p>
    <w:p w14:paraId="75DCA3DC" w14:textId="7D54A244" w:rsidR="00201C5C" w:rsidRPr="00600D40" w:rsidRDefault="00201C5C" w:rsidP="00201C5C">
      <w:r>
        <w:t>31.</w:t>
      </w:r>
      <w:r>
        <w:tab/>
        <w:t>Основните целеви групи за икономически инструменти в областта на политиката за качество на водите са промишлеността (химическа, метална, хранителна, целулоза и хартия, минно дело и др.), селското стопанство и домакинствата.</w:t>
      </w:r>
    </w:p>
    <w:p w14:paraId="7841C744" w14:textId="77777777" w:rsidR="000F6C0C" w:rsidRPr="00746639" w:rsidRDefault="000F6C0C" w:rsidP="00201C5C">
      <w:pPr>
        <w:rPr>
          <w:sz w:val="16"/>
          <w:szCs w:val="16"/>
        </w:rPr>
      </w:pPr>
    </w:p>
    <w:p w14:paraId="2C871952" w14:textId="22E64DC2" w:rsidR="00201C5C" w:rsidRPr="00600D40" w:rsidRDefault="00201C5C" w:rsidP="00201C5C">
      <w:r>
        <w:t>32.</w:t>
      </w:r>
      <w:r>
        <w:tab/>
        <w:t>По отношение на индустрията, таксите или данъците за емисии (отпадни води) могат да се прилагат, когато: 1) индустрията може ефективно да намали емисиите в отговор на таксата или данъка; 2) техническите иновации вероятно ще бъдат насърчавани; и 3) нивото на емисиите може разумно да бъде наблюдавано.</w:t>
      </w:r>
    </w:p>
    <w:p w14:paraId="58018864" w14:textId="77777777" w:rsidR="000F6C0C" w:rsidRPr="00746639" w:rsidRDefault="000F6C0C" w:rsidP="00201C5C">
      <w:pPr>
        <w:rPr>
          <w:sz w:val="16"/>
          <w:szCs w:val="16"/>
        </w:rPr>
      </w:pPr>
    </w:p>
    <w:p w14:paraId="55E335EE" w14:textId="0E8679F6" w:rsidR="00201C5C" w:rsidRPr="000F6C0C" w:rsidRDefault="00201C5C" w:rsidP="00201C5C">
      <w:r>
        <w:t>33.</w:t>
      </w:r>
      <w:r>
        <w:tab/>
        <w:t>Селскостопанското замърсяване от точкови източници (като интензивни животновъдни единици) често може да бъде контролирано чрез регулаторни средства, допълнени, когато е ефективно, от икономически инструменти под формата на такси или данъци за отпадни води. Много селскостопански проблеми възникват от дифузно приложение на пестициди, торове и т.н. Могат да се прилагат такси, базирани на оценка на емисиите или продуктови такси или данъци върху определени суровини. Ефективността на тези инструменти се нуждае от внимателна оценка в цялостния контекст на селскостопанската политика.</w:t>
      </w:r>
    </w:p>
    <w:p w14:paraId="2F3B2E18" w14:textId="77777777" w:rsidR="000F6C0C" w:rsidRDefault="000F6C0C" w:rsidP="00201C5C">
      <w:pPr>
        <w:rPr>
          <w:b/>
          <w:bCs/>
          <w:i/>
          <w:iCs/>
        </w:rPr>
      </w:pPr>
    </w:p>
    <w:p w14:paraId="0898CED2" w14:textId="2DEE10C1" w:rsidR="00201C5C" w:rsidRPr="00600D40" w:rsidRDefault="00201C5C" w:rsidP="00201C5C">
      <w:r>
        <w:rPr>
          <w:b/>
          <w:bCs/>
          <w:i/>
          <w:iCs/>
        </w:rPr>
        <w:lastRenderedPageBreak/>
        <w:t>Замърсяване на въздуха</w:t>
      </w:r>
    </w:p>
    <w:p w14:paraId="03EC6B1D" w14:textId="77777777" w:rsidR="000F6C0C" w:rsidRPr="00746639" w:rsidRDefault="000F6C0C" w:rsidP="00201C5C">
      <w:pPr>
        <w:rPr>
          <w:sz w:val="6"/>
          <w:szCs w:val="6"/>
        </w:rPr>
      </w:pPr>
    </w:p>
    <w:p w14:paraId="6942FC38" w14:textId="6EFD3BCF" w:rsidR="00201C5C" w:rsidRPr="00600D40" w:rsidRDefault="00201C5C" w:rsidP="00201C5C">
      <w:r>
        <w:t>34.</w:t>
      </w:r>
      <w:r>
        <w:tab/>
        <w:t>В областта на контрола на замърсяването на въздуха таксите или данъците за емисии могат да се разглеждат като допълнение или заместител на регулирането. Поради административни причини (по-специално мониторинг на емисиите), таксите или данъците за емисии са по-лесно приложими за големи замърсители и големи стационарни източници.</w:t>
      </w:r>
    </w:p>
    <w:p w14:paraId="6E2C922C" w14:textId="77777777" w:rsidR="000F6C0C" w:rsidRPr="00746639" w:rsidRDefault="000F6C0C" w:rsidP="00201C5C">
      <w:pPr>
        <w:rPr>
          <w:sz w:val="6"/>
          <w:szCs w:val="6"/>
        </w:rPr>
      </w:pPr>
    </w:p>
    <w:p w14:paraId="49D2D772" w14:textId="1FD5F534" w:rsidR="00201C5C" w:rsidRPr="00600D40" w:rsidRDefault="00201C5C" w:rsidP="00201C5C">
      <w:r>
        <w:t>35.</w:t>
      </w:r>
      <w:r>
        <w:tab/>
        <w:t>Тъй като производството и използването на енергия е основна причина за замърсяването на въздуха, ценообразуването на енергията трябва да отчита факторите на околната среда; това може да стане чрез прилагане на продуктови такси или данъци, по-специално такси за горива под формата на допълнителна такса върху или промяна на акцизите върху изкопаемите горива. Продуктовите такси или данъци могат да се използват като заместител на таксите или данъците за емисии, например когато замърсяването е дифузно, когато има много малки (мобилни) източници. Съществува силна традиция, особено в транспортния сектор, за данъчно облагане на мобилни източници и те трябва да бъдат адаптирани в съответствие с екологичните цели.</w:t>
      </w:r>
    </w:p>
    <w:p w14:paraId="2CF8C650" w14:textId="77777777" w:rsidR="000F6C0C" w:rsidRPr="00746639" w:rsidRDefault="000F6C0C" w:rsidP="00201C5C">
      <w:pPr>
        <w:rPr>
          <w:sz w:val="6"/>
          <w:szCs w:val="6"/>
        </w:rPr>
      </w:pPr>
    </w:p>
    <w:p w14:paraId="38A007DB" w14:textId="3EF08A5C" w:rsidR="00201C5C" w:rsidRPr="00600D40" w:rsidRDefault="00201C5C" w:rsidP="00201C5C">
      <w:r>
        <w:t>36.</w:t>
      </w:r>
      <w:r>
        <w:tab/>
        <w:t>Създаването на разлика в цените между традиционните продукти и по-чистите заместители може да се осъществи чрез комбинация от допълнителни такси и отстъпки от цената на такива продукти по принципно неутрален за приходите начин.</w:t>
      </w:r>
    </w:p>
    <w:p w14:paraId="52A0AFF3" w14:textId="77777777" w:rsidR="000F6C0C" w:rsidRPr="00746639" w:rsidRDefault="000F6C0C" w:rsidP="00201C5C">
      <w:pPr>
        <w:rPr>
          <w:sz w:val="6"/>
          <w:szCs w:val="6"/>
        </w:rPr>
      </w:pPr>
    </w:p>
    <w:p w14:paraId="6E5A356C" w14:textId="5EDCAB33" w:rsidR="00201C5C" w:rsidRPr="00600D40" w:rsidRDefault="00201C5C" w:rsidP="00201C5C">
      <w:r>
        <w:t>37.</w:t>
      </w:r>
      <w:r>
        <w:tab/>
        <w:t>Емисионни разрешителни могат да се обмислят, за да се създадат пазарни условия за нови и модифицирани инсталации и по отношение на характеристиките на замърсяването на въздуха на някои продукти (напр. автомобили). На производителите може да бъде разрешено да търгуват с кредити, като надхвърлят стандартите или ги изпълняват по-рано от изискваното, при условие че се постигнат равни или по-добри условия за околната среда.</w:t>
      </w:r>
    </w:p>
    <w:p w14:paraId="5D771690" w14:textId="77777777" w:rsidR="000F6C0C" w:rsidRPr="00746639" w:rsidRDefault="000F6C0C" w:rsidP="00201C5C">
      <w:pPr>
        <w:rPr>
          <w:sz w:val="6"/>
          <w:szCs w:val="6"/>
        </w:rPr>
      </w:pPr>
    </w:p>
    <w:p w14:paraId="15C05A69" w14:textId="798AD0BF" w:rsidR="00201C5C" w:rsidRPr="00600D40" w:rsidRDefault="00201C5C" w:rsidP="00201C5C">
      <w:r>
        <w:t>38.</w:t>
      </w:r>
      <w:r>
        <w:tab/>
        <w:t>Схемите за обратно изкупуване могат да се прилагат към продукти, които съдържат потенциално замърсяващи вещества в затворени вериги (напр. хладилници и климатици, съдържащи CFC). След връщане такива продукти могат да бъдат правилно бракувани или рециклирани.</w:t>
      </w:r>
    </w:p>
    <w:p w14:paraId="4B591DD2" w14:textId="77777777" w:rsidR="000F6C0C" w:rsidRPr="00746639" w:rsidRDefault="000F6C0C" w:rsidP="00201C5C">
      <w:pPr>
        <w:rPr>
          <w:sz w:val="6"/>
          <w:szCs w:val="6"/>
        </w:rPr>
      </w:pPr>
    </w:p>
    <w:p w14:paraId="0F593076" w14:textId="3CA970CC" w:rsidR="00201C5C" w:rsidRPr="00600D40" w:rsidRDefault="00201C5C" w:rsidP="00201C5C">
      <w:r>
        <w:t>39.</w:t>
      </w:r>
      <w:r>
        <w:tab/>
        <w:t>При замърсяването на въздуха основните целеви групи за прилагане на икономически инструменти са промишлеността, енергетиката и транспорта. За промишлеността следва да се вземат предвид същите ограничения, приложими към замърсяването на водата (параграф 31). За енергийния сектор следва да се обърне специално внимание на правилното интегриране на енергийните и екологичните политики чрез подходящо ценообразуване на енергийните ресурси.</w:t>
      </w:r>
    </w:p>
    <w:p w14:paraId="269B3CEF" w14:textId="77777777" w:rsidR="000F6C0C" w:rsidRPr="00746639" w:rsidRDefault="000F6C0C" w:rsidP="00201C5C">
      <w:pPr>
        <w:rPr>
          <w:sz w:val="6"/>
          <w:szCs w:val="6"/>
        </w:rPr>
      </w:pPr>
    </w:p>
    <w:p w14:paraId="6BA4C8D3" w14:textId="34D9E7B8" w:rsidR="00201C5C" w:rsidRPr="00600D40" w:rsidRDefault="00201C5C" w:rsidP="00201C5C">
      <w:r>
        <w:t>40.</w:t>
      </w:r>
      <w:r>
        <w:tab/>
        <w:t>Интегрирането на транспортните и екологичните политики също е от особено значение. Ценообразуването и данъчното облагане на транспорта трябва не само да вземат предвид факторите на околната среда, но също така могат да бъдат въведени специфични икономически инструменти, като ценообразуване/данъчно облагане на горивата, отразяващи, доколкото е възможно, крайните щети на околната среда. Моторните превозни средства също могат да бъдат облагани с екологични такси или данъци. Таксите или данъците за задръствания, предназначени основно за облекчаване на проблемите с трафика, могат да допринесат за намаляване на замърсяването на въздуха. И накрая, таксуването за използването на транспортната инфраструктура (пътни такси и други тол такси) трябва да включва също съображения за околната среда, когато е уместно.</w:t>
      </w:r>
    </w:p>
    <w:p w14:paraId="63E7ED4F" w14:textId="77777777" w:rsidR="000F6C0C" w:rsidRPr="00746639" w:rsidRDefault="000F6C0C" w:rsidP="00201C5C">
      <w:pPr>
        <w:rPr>
          <w:b/>
          <w:bCs/>
          <w:i/>
          <w:iCs/>
          <w:sz w:val="6"/>
          <w:szCs w:val="6"/>
        </w:rPr>
      </w:pPr>
    </w:p>
    <w:p w14:paraId="2BB93C11" w14:textId="2C7D746B" w:rsidR="00201C5C" w:rsidRPr="00600D40" w:rsidRDefault="00201C5C" w:rsidP="00201C5C">
      <w:r>
        <w:rPr>
          <w:b/>
          <w:bCs/>
          <w:i/>
          <w:iCs/>
        </w:rPr>
        <w:t>Управление на отпадъците</w:t>
      </w:r>
    </w:p>
    <w:p w14:paraId="0D1EACA1" w14:textId="77777777" w:rsidR="00C524BE" w:rsidRPr="00746639" w:rsidRDefault="00C524BE" w:rsidP="00201C5C">
      <w:pPr>
        <w:rPr>
          <w:sz w:val="6"/>
          <w:szCs w:val="6"/>
        </w:rPr>
      </w:pPr>
    </w:p>
    <w:p w14:paraId="7C4223ED" w14:textId="3ED85AC2" w:rsidR="00201C5C" w:rsidRPr="00600D40" w:rsidRDefault="00201C5C" w:rsidP="00201C5C">
      <w:r>
        <w:t>41.</w:t>
      </w:r>
      <w:r>
        <w:tab/>
        <w:t>Финансовите (потребителски) такси трябва да са насочени към правилното събиране, преработка и съхранение на отпадъците или към почистването на места за стари опасни отпадъци. Стимулиращите такси или данъци могат да имат множество цели, които трябва да бъдат признати, когато са проектирани. Първата цел може да бъде минимизиране на генерирането на (обемни и/или токсични) отпадъци в процесите на производство и потребление. Втората цел може да бъде да се обезкуражи производството и потреблението на (обемни и/или токсични) продукти с интензивни отпадъци и да се насърчат по-„приятелски“ заместители. На трето място могат да бъдат въведени икономически инструменти за насърчаване на рециклирането, което спестява изчерпаеми ресурси, включително място за изхвърляне на отпадъци.</w:t>
      </w:r>
    </w:p>
    <w:p w14:paraId="37B8A897" w14:textId="77777777" w:rsidR="00C524BE" w:rsidRDefault="00C524BE" w:rsidP="00201C5C"/>
    <w:p w14:paraId="10692D71" w14:textId="785A3EE6" w:rsidR="00201C5C" w:rsidRPr="00600D40" w:rsidRDefault="00201C5C" w:rsidP="00201C5C">
      <w:r>
        <w:lastRenderedPageBreak/>
        <w:t>42.</w:t>
      </w:r>
      <w:r>
        <w:tab/>
        <w:t>Таксите или данъците за емисии (изхвърляне) трябва да се основават или на обема и/или на токсичността (или други вредни характеристики) на отпадъчните елементи. В последния случай отпадъците, съдържащи много вещества, ще причинят проблеми с изчисляването и наблюдението. Поради възможно укриване, таксите или данъците за емисии могат да се прилагат само ако е лесно да се контролират изпускателите. В повечето случаи могат да се прилагат потребителски такси, т.е. плащане за събиране на отпадъци и използване на съоръжения за изхвърляне на отпадъци.</w:t>
      </w:r>
    </w:p>
    <w:p w14:paraId="3DA363E1" w14:textId="77777777" w:rsidR="00B357D8" w:rsidRPr="00746639" w:rsidRDefault="00B357D8" w:rsidP="00201C5C">
      <w:pPr>
        <w:rPr>
          <w:sz w:val="6"/>
          <w:szCs w:val="6"/>
        </w:rPr>
      </w:pPr>
    </w:p>
    <w:p w14:paraId="2E0102B9" w14:textId="39278EF0" w:rsidR="00201C5C" w:rsidRPr="00600D40" w:rsidRDefault="00201C5C" w:rsidP="00201C5C">
      <w:r>
        <w:t>43.</w:t>
      </w:r>
      <w:r>
        <w:tab/>
        <w:t>Продуктови такси или данъци могат да бъдат взети предвид в случай на продукти, които ще генерират отпадъци във фазите на производство или потребление (напр. найлонови торбички). Те действат като заместители в случаите, когато директното таксуване за отпадъци не е ефективно или ефикасно. Материалите, които не могат да бъдат рециклирани или използвани повторно, могат да бъдат обложени с такси или данъци.</w:t>
      </w:r>
    </w:p>
    <w:p w14:paraId="47DC3CF6" w14:textId="77777777" w:rsidR="00B357D8" w:rsidRPr="00746639" w:rsidRDefault="00B357D8" w:rsidP="00201C5C">
      <w:pPr>
        <w:rPr>
          <w:sz w:val="6"/>
          <w:szCs w:val="6"/>
        </w:rPr>
      </w:pPr>
    </w:p>
    <w:p w14:paraId="77D22F4C" w14:textId="403B8EA6" w:rsidR="00201C5C" w:rsidRPr="00600D40" w:rsidRDefault="00201C5C" w:rsidP="00201C5C">
      <w:r>
        <w:t>44.</w:t>
      </w:r>
      <w:r>
        <w:tab/>
        <w:t>В случаите, когато връщането на използвани продукти в места за събиране или съхранение е важно, може да се обмисли схема за обратно изкупуване. Това е желателно, когато такива продукти могат да бъдат повторно използвани или рециклирани (бутилки, каси) или когато такива продукти съдържат потенциално замърсяващи вещества (батерии, автомобили). Продукт, подлежащ на схеми за обратно изкупуване, трябва да съществува в голямо количество и необходимата система за събиране трябва да бъде управляема.</w:t>
      </w:r>
    </w:p>
    <w:p w14:paraId="272BE6EB" w14:textId="77777777" w:rsidR="00B357D8" w:rsidRPr="00746639" w:rsidRDefault="00B357D8" w:rsidP="00201C5C">
      <w:pPr>
        <w:rPr>
          <w:sz w:val="6"/>
          <w:szCs w:val="6"/>
        </w:rPr>
      </w:pPr>
    </w:p>
    <w:p w14:paraId="556D6A5F" w14:textId="671B8E38" w:rsidR="00201C5C" w:rsidRPr="00600D40" w:rsidRDefault="00201C5C" w:rsidP="00201C5C">
      <w:r>
        <w:t>45.</w:t>
      </w:r>
      <w:r>
        <w:tab/>
        <w:t>Основни целеви групи за икономически инструменти в управлението на отпадъците са промишлеността, селското стопанство, домакинствата и секторът за обработка на отпадъци, независимо дали е публичен или частен. Промишлеността може да бъде обект на икономически инструменти, защото произвежда продукти, които ще създадат проблеми с отпадъците, когато се използват или изхвърлят, или генерират обемни или токсични отпадъци. Селскостопански отпадъци като животински тор също могат да бъдат таксувани.</w:t>
      </w:r>
    </w:p>
    <w:p w14:paraId="5DB94171" w14:textId="77777777" w:rsidR="00B357D8" w:rsidRPr="00746639" w:rsidRDefault="00B357D8" w:rsidP="00201C5C">
      <w:pPr>
        <w:rPr>
          <w:b/>
          <w:bCs/>
          <w:i/>
          <w:iCs/>
          <w:sz w:val="6"/>
          <w:szCs w:val="6"/>
        </w:rPr>
      </w:pPr>
    </w:p>
    <w:p w14:paraId="6196B0C7" w14:textId="5A46806A" w:rsidR="00201C5C" w:rsidRPr="00600D40" w:rsidRDefault="00201C5C" w:rsidP="00201C5C">
      <w:r>
        <w:rPr>
          <w:b/>
          <w:bCs/>
          <w:i/>
          <w:iCs/>
        </w:rPr>
        <w:t>Шум</w:t>
      </w:r>
    </w:p>
    <w:p w14:paraId="3BEDC452" w14:textId="77777777" w:rsidR="00B357D8" w:rsidRPr="00746639" w:rsidRDefault="00B357D8" w:rsidP="00201C5C">
      <w:pPr>
        <w:rPr>
          <w:sz w:val="6"/>
          <w:szCs w:val="6"/>
        </w:rPr>
      </w:pPr>
    </w:p>
    <w:p w14:paraId="6D089C34" w14:textId="27106B36" w:rsidR="00201C5C" w:rsidRPr="00600D40" w:rsidRDefault="00201C5C" w:rsidP="00201C5C">
      <w:r>
        <w:t>46.</w:t>
      </w:r>
      <w:r>
        <w:tab/>
        <w:t>Икономическите инструменти могат да се използват за засилване на прякото регулиране, подобряване на прилагането на съществуващите мерки и ускоряване на спазването на по-строгите стандарти за шум. Икономическите инструменти могат също да подобрят интеграцията между различните области на политиката, по-специално между транспортната политика и политиката за намаляване на шума. Икономическите инструменти (таксите) също могат да набират приходи за финансиране на специфични мерки за намаляване на шума, като изолация на къщи или изграждане на шумоизолационни бариери.</w:t>
      </w:r>
    </w:p>
    <w:p w14:paraId="7E2F9772" w14:textId="77777777" w:rsidR="00B357D8" w:rsidRPr="00746639" w:rsidRDefault="00B357D8" w:rsidP="00201C5C">
      <w:pPr>
        <w:rPr>
          <w:sz w:val="6"/>
          <w:szCs w:val="6"/>
        </w:rPr>
      </w:pPr>
    </w:p>
    <w:p w14:paraId="7E5D75E4" w14:textId="2B913F21" w:rsidR="00201C5C" w:rsidRPr="00600D40" w:rsidRDefault="00201C5C" w:rsidP="00201C5C">
      <w:r>
        <w:t>47.</w:t>
      </w:r>
      <w:r>
        <w:tab/>
        <w:t>Таксите или данъците върху източниците на шум могат да бъдат взети предвид по отношение на шума от въздухоплавателни средства, шума от пътния трафик и индустриални източници на шум. Такси или данъци за шума на въздухоплавателното средство могат да се прилагат върху таксите за кацане според шумовите характеристики на въздухоплавателното средство и свързани с физическите разпоредби (сертификати за одобрение на шума на ICAO). Такси или данъци могат да се прилагат и за леки автомобили и камиони въз основа на техните акустични характеристики, измерени съгласно международно договорени процедури (напр. ISO). Таксите или данъците за емисии също са приложими за (стационарни) индустриални източници на шум.</w:t>
      </w:r>
    </w:p>
    <w:p w14:paraId="4BB24797" w14:textId="77777777" w:rsidR="00B357D8" w:rsidRPr="00746639" w:rsidRDefault="00B357D8" w:rsidP="00201C5C">
      <w:pPr>
        <w:rPr>
          <w:sz w:val="6"/>
          <w:szCs w:val="6"/>
        </w:rPr>
      </w:pPr>
    </w:p>
    <w:p w14:paraId="6280A788" w14:textId="02D1F50B" w:rsidR="00201C5C" w:rsidRPr="00600D40" w:rsidRDefault="00201C5C" w:rsidP="00201C5C">
      <w:r>
        <w:t>48.</w:t>
      </w:r>
      <w:r>
        <w:tab/>
        <w:t>Продуктови такси или данъци могат да се използват по отношение на уредите. Възможна е диференциация на данъците по отношение на шумните продукти и алтернативите с нисък шум</w:t>
      </w:r>
    </w:p>
    <w:p w14:paraId="419FC56F" w14:textId="77777777" w:rsidR="00B357D8" w:rsidRPr="00746639" w:rsidRDefault="00B357D8" w:rsidP="00201C5C">
      <w:pPr>
        <w:rPr>
          <w:sz w:val="6"/>
          <w:szCs w:val="6"/>
        </w:rPr>
      </w:pPr>
    </w:p>
    <w:p w14:paraId="7CA80869" w14:textId="11714639" w:rsidR="00201C5C" w:rsidRDefault="00201C5C" w:rsidP="00201C5C">
      <w:r>
        <w:t>49.</w:t>
      </w:r>
      <w:r>
        <w:tab/>
        <w:t>Други икономически инструменти, които се разглеждат по отношение на други проблеми на трафика, като пътни такси и таксуване според разходите за използване на автомобил, също биха могли да работят във връзка с шума. Таксите или данъците за шум също могат да бъдат част от интегрирана система за таксуване на моторни превозни средства, включваща замърсяване и други възможни характеристики на превозните средства.</w:t>
      </w:r>
    </w:p>
    <w:p w14:paraId="55579596" w14:textId="29660D2A" w:rsidR="00201C5C" w:rsidRDefault="00201C5C" w:rsidP="00201C5C"/>
    <w:p w14:paraId="4B13D5EE" w14:textId="5302E4D9" w:rsidR="00B357D8" w:rsidRDefault="00B357D8" w:rsidP="00201C5C"/>
    <w:p w14:paraId="31124D6C" w14:textId="2630F3FD" w:rsidR="00B357D8" w:rsidRDefault="00B357D8" w:rsidP="00201C5C"/>
    <w:p w14:paraId="3F0CFCE3" w14:textId="704E7158" w:rsidR="00B357D8" w:rsidRDefault="00B357D8" w:rsidP="00201C5C"/>
    <w:p w14:paraId="1C1275A2" w14:textId="77777777" w:rsidR="00201C5C" w:rsidRPr="00600D40" w:rsidRDefault="00201C5C" w:rsidP="00201C5C">
      <w:r>
        <w:t>50.</w:t>
      </w:r>
      <w:r>
        <w:tab/>
        <w:t>Основните целеви групи за прилагане на икономически инструменти за шума са транспортът, собствениците на домакински уреди и индустрията. По отношение на транспорта трябва да се вземат предвид производителите и потребителите на леки и товарни автомобили, летища и железници. Що се отнася до индустрията, включени са различни сектори, сред които строителният сектор и много големи производители.</w:t>
      </w:r>
    </w:p>
    <w:p w14:paraId="4341E8D9" w14:textId="77777777" w:rsidR="00B357D8" w:rsidRDefault="00B357D8" w:rsidP="00201C5C">
      <w:pPr>
        <w:rPr>
          <w:b/>
          <w:bCs/>
          <w:i/>
          <w:iCs/>
        </w:rPr>
      </w:pPr>
    </w:p>
    <w:p w14:paraId="0B378F09" w14:textId="7AE1CB51" w:rsidR="00201C5C" w:rsidRPr="00600D40" w:rsidRDefault="00201C5C" w:rsidP="00201C5C">
      <w:r>
        <w:rPr>
          <w:b/>
          <w:bCs/>
          <w:i/>
          <w:iCs/>
        </w:rPr>
        <w:t>Прилагане на икономически инструменти към международни и глобални екологични проблеми</w:t>
      </w:r>
    </w:p>
    <w:p w14:paraId="44D96EF3" w14:textId="77777777" w:rsidR="00B357D8" w:rsidRDefault="00B357D8" w:rsidP="00201C5C"/>
    <w:p w14:paraId="6D77152C" w14:textId="528EA193" w:rsidR="00201C5C" w:rsidRPr="00600D40" w:rsidRDefault="00201C5C" w:rsidP="00201C5C">
      <w:r>
        <w:t>51.</w:t>
      </w:r>
      <w:r>
        <w:tab/>
        <w:t>Икономическите инструменти могат да бъдат разгледани за справяне с международни и глобални екологични проблеми, като киселинни дъждове, глобално затопляне и разрушаване на озоновия слой в стратосферата, по най-рентабилния начин.</w:t>
      </w:r>
    </w:p>
    <w:p w14:paraId="74AB8F2B" w14:textId="77777777" w:rsidR="00B357D8" w:rsidRDefault="00B357D8" w:rsidP="00201C5C"/>
    <w:p w14:paraId="0C742F13" w14:textId="6482455B" w:rsidR="00201C5C" w:rsidRPr="00600D40" w:rsidRDefault="00201C5C" w:rsidP="00201C5C">
      <w:r>
        <w:t>52.</w:t>
      </w:r>
      <w:r>
        <w:tab/>
        <w:t>Въглеродният диоксид е основният фактор, причиняващ глобалното затопляне, но емисиите не могат да бъдат отстранени чрез наличното в момента пречистване в края на веригата. Въпреки това, тъй като емисиите са пропорционални на съдържанието на въглерод в горивата, които се изгарят, таксата или данъкът върху въглерода биха били идентични с таксата за емисии или данъка върху въглеродния диоксид. Таксата или данъкът върху въглерода може да се преведе в продуктова такса или данък върху изкопаемите горива, като се има предвид информацията за съдържанието на въглерод в тези горива. По същия начин данъчната система може да бъде адаптирана, например чрез данъчно облагане на съдържанието на сяра в горивата. Общи мерки като енергийни данъци или такси следва, в съответствие с други цели на политиката, да насърчават повишаването на енергийната ефективност, като по този начин намаляват свързаните въздействия върху околната среда.</w:t>
      </w:r>
    </w:p>
    <w:p w14:paraId="4790CCAD" w14:textId="77777777" w:rsidR="00B357D8" w:rsidRDefault="00B357D8" w:rsidP="00201C5C"/>
    <w:p w14:paraId="603EA991" w14:textId="74A06006" w:rsidR="00201C5C" w:rsidRPr="00600D40" w:rsidRDefault="00201C5C" w:rsidP="00201C5C">
      <w:r>
        <w:t>53.</w:t>
      </w:r>
      <w:r>
        <w:tab/>
        <w:t>Могат да се вземат предвид и емисионни разрешителни. Ако целта е емисиите да се поддържат постоянни, на някои съществуващи източници на емисии може да бъде разрешено да увеличават емисиите, а на нови източници може да бъде разрешено да изпускат, при условие че могат да получат друг източник за намаляване на емисиите с поне еквивалентно количество. Като алтернатива, увеличаването на емисиите може да бъде компенсирано чрез инвестиции, които увеличават способността на околната среда да абсорбира емисиите (в случай на въглероден диоксид).</w:t>
      </w:r>
    </w:p>
    <w:p w14:paraId="05324882" w14:textId="77777777" w:rsidR="00B357D8" w:rsidRDefault="00B357D8" w:rsidP="00201C5C"/>
    <w:p w14:paraId="5EFC0C52" w14:textId="1908E47D" w:rsidR="00201C5C" w:rsidRPr="00600D40" w:rsidRDefault="00201C5C" w:rsidP="00201C5C">
      <w:r>
        <w:t>54.</w:t>
      </w:r>
      <w:r>
        <w:tab/>
        <w:t>Целевите групи варират от проблем до проблем. Например, ограничен брой фирми произвеждат CFC и те могат да бъдат подложени на такси или емисионни разрешителни. По практически причини емисионните разрешителни ще трябва да се прилагат само за производители и вносители. Големи източници на емисии на въглероден диоксид, като производителите на електроенергия, могат да получат емисионни разрешителни или да бъдат обложени с такси или данъци за въглерод. Малки източници като домакинствата също могат да бъдат обект на такса или данък за въглерод (например за бензин и горива за отопление на дома).</w:t>
      </w:r>
    </w:p>
    <w:p w14:paraId="06718E2B" w14:textId="77777777" w:rsidR="00201C5C" w:rsidRDefault="00201C5C" w:rsidP="00201C5C"/>
    <w:p w14:paraId="43DE4E08" w14:textId="77777777" w:rsidR="0014037A" w:rsidRDefault="0014037A">
      <w:pPr>
        <w:jc w:val="both"/>
        <w:rPr>
          <w:sz w:val="20"/>
        </w:rPr>
        <w:sectPr w:rsidR="0014037A">
          <w:headerReference w:type="even" r:id="rId16"/>
          <w:headerReference w:type="default" r:id="rId17"/>
          <w:pgSz w:w="11910" w:h="16840"/>
          <w:pgMar w:top="1320" w:right="1300" w:bottom="280" w:left="1300" w:header="849" w:footer="0" w:gutter="0"/>
          <w:cols w:space="720"/>
        </w:sectPr>
      </w:pPr>
    </w:p>
    <w:p w14:paraId="4264534F" w14:textId="77777777" w:rsidR="0014037A" w:rsidRDefault="00D34A99">
      <w:pPr>
        <w:pStyle w:val="Heading1"/>
      </w:pPr>
      <w:bookmarkStart w:id="3" w:name="About_the_OECD"/>
      <w:bookmarkEnd w:id="3"/>
      <w:r>
        <w:rPr>
          <w:color w:val="1F4679"/>
        </w:rPr>
        <w:lastRenderedPageBreak/>
        <w:t>Относно ОИСР</w:t>
      </w:r>
    </w:p>
    <w:p w14:paraId="1DDCE5B4" w14:textId="77777777" w:rsidR="0014037A" w:rsidRDefault="0014037A">
      <w:pPr>
        <w:pStyle w:val="BodyText"/>
        <w:spacing w:before="5"/>
        <w:rPr>
          <w:b/>
          <w:sz w:val="21"/>
        </w:rPr>
      </w:pPr>
    </w:p>
    <w:p w14:paraId="3E64E25D" w14:textId="77777777" w:rsidR="0014037A" w:rsidRDefault="00D34A99">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3F4CD790" w14:textId="77777777" w:rsidR="0014037A" w:rsidRDefault="0014037A">
      <w:pPr>
        <w:pStyle w:val="BodyText"/>
        <w:spacing w:before="10"/>
      </w:pPr>
    </w:p>
    <w:p w14:paraId="01F6779F" w14:textId="77777777" w:rsidR="0014037A" w:rsidRDefault="00D34A99">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6757CD1A" w14:textId="77777777" w:rsidR="0014037A" w:rsidRDefault="0014037A">
      <w:pPr>
        <w:pStyle w:val="BodyText"/>
        <w:rPr>
          <w:sz w:val="22"/>
        </w:rPr>
      </w:pPr>
    </w:p>
    <w:p w14:paraId="2E643D15" w14:textId="77777777" w:rsidR="0014037A" w:rsidRDefault="00D34A99">
      <w:pPr>
        <w:pStyle w:val="Heading1"/>
        <w:spacing w:before="141"/>
      </w:pPr>
      <w:bookmarkStart w:id="4" w:name="OECD_Legal_Instruments"/>
      <w:bookmarkEnd w:id="4"/>
      <w:r>
        <w:rPr>
          <w:color w:val="1F4679"/>
        </w:rPr>
        <w:t>Правни инструменти на ОИСР</w:t>
      </w:r>
    </w:p>
    <w:p w14:paraId="568828EB" w14:textId="77777777" w:rsidR="0014037A" w:rsidRDefault="0014037A">
      <w:pPr>
        <w:pStyle w:val="BodyText"/>
        <w:spacing w:before="7"/>
        <w:rPr>
          <w:b/>
          <w:sz w:val="21"/>
        </w:rPr>
      </w:pPr>
    </w:p>
    <w:p w14:paraId="4096947D" w14:textId="77777777" w:rsidR="0014037A" w:rsidRDefault="00D34A99">
      <w:pPr>
        <w:pStyle w:val="BodyText"/>
        <w:ind w:left="116" w:right="150"/>
        <w:jc w:val="both"/>
      </w:pPr>
      <w:r>
        <w:t>От създаването на ОИСР през 1961 г. в рамките на ОИСР са разработени около 460 материалноправни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6BCB666F" w14:textId="77777777" w:rsidR="0014037A" w:rsidRDefault="0014037A">
      <w:pPr>
        <w:pStyle w:val="BodyText"/>
        <w:spacing w:before="10"/>
      </w:pPr>
    </w:p>
    <w:p w14:paraId="7525A728" w14:textId="77777777" w:rsidR="0014037A" w:rsidRDefault="00D34A99">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408AAD08" w14:textId="77777777" w:rsidR="0014037A" w:rsidRDefault="0014037A">
      <w:pPr>
        <w:pStyle w:val="BodyText"/>
        <w:spacing w:before="8"/>
        <w:rPr>
          <w:sz w:val="18"/>
        </w:rPr>
      </w:pPr>
    </w:p>
    <w:p w14:paraId="231CDD5B" w14:textId="77777777" w:rsidR="0014037A" w:rsidRDefault="00D34A99">
      <w:pPr>
        <w:pStyle w:val="ListParagraph"/>
        <w:numPr>
          <w:ilvl w:val="0"/>
          <w:numId w:val="1"/>
        </w:numPr>
        <w:tabs>
          <w:tab w:val="left" w:pos="853"/>
        </w:tabs>
        <w:spacing w:line="244" w:lineRule="auto"/>
        <w:ind w:right="110"/>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2564B08C" w14:textId="77777777" w:rsidR="0014037A" w:rsidRDefault="00D34A99">
      <w:pPr>
        <w:pStyle w:val="ListParagraph"/>
        <w:numPr>
          <w:ilvl w:val="0"/>
          <w:numId w:val="1"/>
        </w:numPr>
        <w:tabs>
          <w:tab w:val="left" w:pos="853"/>
        </w:tabs>
        <w:spacing w:before="197" w:line="244"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страни ще направят всичко възможно, за да ги изпълнят.</w:t>
      </w:r>
    </w:p>
    <w:p w14:paraId="22D59F16" w14:textId="77777777" w:rsidR="0014037A" w:rsidRDefault="00D34A99">
      <w:pPr>
        <w:pStyle w:val="ListParagraph"/>
        <w:numPr>
          <w:ilvl w:val="0"/>
          <w:numId w:val="1"/>
        </w:numPr>
        <w:tabs>
          <w:tab w:val="left" w:pos="853"/>
        </w:tabs>
        <w:spacing w:before="197" w:line="244" w:lineRule="auto"/>
        <w:ind w:right="103"/>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7844D99E" w14:textId="77777777" w:rsidR="0014037A" w:rsidRDefault="00D34A99">
      <w:pPr>
        <w:pStyle w:val="ListParagraph"/>
        <w:numPr>
          <w:ilvl w:val="0"/>
          <w:numId w:val="1"/>
        </w:numPr>
        <w:tabs>
          <w:tab w:val="left" w:pos="853"/>
        </w:tabs>
        <w:spacing w:before="198" w:line="242" w:lineRule="auto"/>
        <w:ind w:right="114"/>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045D7F4F" w14:textId="77777777" w:rsidR="0014037A" w:rsidRDefault="0014037A">
      <w:pPr>
        <w:pStyle w:val="BodyText"/>
        <w:spacing w:before="3"/>
        <w:rPr>
          <w:sz w:val="19"/>
        </w:rPr>
      </w:pPr>
    </w:p>
    <w:p w14:paraId="11E9A563" w14:textId="77777777" w:rsidR="0014037A" w:rsidRDefault="00D34A99">
      <w:pPr>
        <w:pStyle w:val="ListParagraph"/>
        <w:numPr>
          <w:ilvl w:val="0"/>
          <w:numId w:val="1"/>
        </w:numPr>
        <w:tabs>
          <w:tab w:val="left" w:pos="853"/>
        </w:tabs>
        <w:spacing w:before="1"/>
        <w:ind w:right="108" w:hanging="710"/>
        <w:rPr>
          <w:sz w:val="20"/>
        </w:rPr>
      </w:pPr>
      <w:r>
        <w:rPr>
          <w:b/>
          <w:sz w:val="20"/>
        </w:rPr>
        <w:t>Споразумение, разбирателство и други</w:t>
      </w:r>
      <w:r>
        <w:rPr>
          <w:sz w:val="20"/>
        </w:rPr>
        <w:t>: няколко други типа материалноправни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14037A">
      <w:headerReference w:type="default" r:id="rId18"/>
      <w:pgSz w:w="11940" w:h="16860"/>
      <w:pgMar w:top="1300" w:right="1260" w:bottom="280" w:left="13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4FF497" w14:textId="77777777" w:rsidR="00D34A99" w:rsidRDefault="00D34A99">
      <w:r>
        <w:separator/>
      </w:r>
    </w:p>
  </w:endnote>
  <w:endnote w:type="continuationSeparator" w:id="0">
    <w:p w14:paraId="6F8690FE" w14:textId="77777777" w:rsidR="00D34A99" w:rsidRDefault="00D3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7AA9EF" w14:textId="77777777" w:rsidR="00D34A99" w:rsidRDefault="00D34A99">
      <w:r>
        <w:separator/>
      </w:r>
    </w:p>
  </w:footnote>
  <w:footnote w:type="continuationSeparator" w:id="0">
    <w:p w14:paraId="362FC071" w14:textId="77777777" w:rsidR="00D34A99" w:rsidRDefault="00D34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E8920" w14:textId="77777777" w:rsidR="0014037A" w:rsidRDefault="00746639">
    <w:pPr>
      <w:pStyle w:val="BodyText"/>
      <w:spacing w:line="14" w:lineRule="auto"/>
    </w:pPr>
    <w:r>
      <w:pict w14:anchorId="6816F3EF">
        <v:line id="_x0000_s1034" style="position:absolute;z-index:-15976448;mso-position-horizontal-relative:page;mso-position-vertical-relative:page" from="158pt,56.05pt" to="554.1pt,56.05pt" strokecolor="#2a2928" strokeweight=".63pt">
          <w10:wrap anchorx="page" anchory="page"/>
        </v:line>
      </w:pict>
    </w:r>
    <w:r>
      <w:pict w14:anchorId="53991135">
        <v:shapetype id="_x0000_t202" coordsize="21600,21600" o:spt="202" path="m,l,21600r21600,l21600,xe">
          <v:stroke joinstyle="miter"/>
          <v:path gradientshapeok="t" o:connecttype="rect"/>
        </v:shapetype>
        <v:shape id="_x0000_s1033" type="#_x0000_t202" style="position:absolute;margin-left:39.5pt;margin-top:41.45pt;width:124.15pt;height:16.05pt;z-index:-15975936;mso-position-horizontal-relative:page;mso-position-vertical-relative:page" filled="f" stroked="f">
          <v:textbox inset="0,0,0,0">
            <w:txbxContent>
              <w:p w14:paraId="1D734803" w14:textId="77777777" w:rsidR="0014037A" w:rsidRDefault="00D34A99">
                <w:pPr>
                  <w:pStyle w:val="BodyText"/>
                  <w:tabs>
                    <w:tab w:val="left" w:pos="626"/>
                  </w:tabs>
                  <w:spacing w:before="18"/>
                  <w:ind w:left="60"/>
                </w:pPr>
                <w:r>
                  <w:fldChar w:fldCharType="begin"/>
                </w:r>
                <w:r>
                  <w:rPr>
                    <w:b/>
                    <w:color w:val="2B2A29"/>
                    <w:u w:val="single" w:color="2A2928"/>
                  </w:rPr>
                  <w:instrText xml:space="preserve"> PAGE </w:instrText>
                </w:r>
                <w:r>
                  <w:fldChar w:fldCharType="separate"/>
                </w:r>
                <w:r>
                  <w:t>4</w:t>
                </w:r>
                <w:r>
                  <w:fldChar w:fldCharType="end"/>
                </w:r>
                <w:r>
                  <w:rPr>
                    <w:b/>
                    <w:color w:val="2B2A29"/>
                    <w:u w:val="single" w:color="2A2928"/>
                  </w:rPr>
                  <w:tab/>
                </w:r>
                <w:r>
                  <w:rPr>
                    <w:color w:val="2B2A29"/>
                    <w:u w:val="single" w:color="2A2928"/>
                  </w:rPr>
                  <w:t>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_A_L_/_0_2_5_8</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0A74B" w14:textId="77777777" w:rsidR="0014037A" w:rsidRDefault="00746639">
    <w:pPr>
      <w:pStyle w:val="BodyText"/>
      <w:spacing w:line="14" w:lineRule="auto"/>
    </w:pPr>
    <w:r>
      <w:pict w14:anchorId="323601FC">
        <v:line id="_x0000_s1036" style="position:absolute;z-index:-15977472;mso-position-horizontal-relative:page;mso-position-vertical-relative:page" from="42.5pt,56.05pt" to="438.6pt,56.05pt" strokecolor="#2a2928" strokeweight=".63pt">
          <w10:wrap anchorx="page" anchory="page"/>
        </v:line>
      </w:pict>
    </w:r>
    <w:r>
      <w:pict w14:anchorId="5CF6F151">
        <v:shapetype id="_x0000_t202" coordsize="21600,21600" o:spt="202" path="m,l,21600r21600,l21600,xe">
          <v:stroke joinstyle="miter"/>
          <v:path gradientshapeok="t" o:connecttype="rect"/>
        </v:shapetype>
        <v:shape id="_x0000_s1035" type="#_x0000_t202" style="position:absolute;margin-left:432.1pt;margin-top:41.45pt;width:126pt;height:16.05pt;z-index:-15976960;mso-position-horizontal-relative:page;mso-position-vertical-relative:page" filled="f" stroked="f">
          <v:textbox inset="0,0,0,0">
            <w:txbxContent>
              <w:p w14:paraId="51C3C693" w14:textId="7D86E81F" w:rsidR="0014037A" w:rsidRPr="00E53539" w:rsidRDefault="00D34A99" w:rsidP="000475B2">
                <w:pPr>
                  <w:pStyle w:val="BodyText"/>
                  <w:tabs>
                    <w:tab w:val="left" w:pos="2308"/>
                  </w:tabs>
                  <w:spacing w:before="18"/>
                  <w:rPr>
                    <w:lang/>
                  </w:rPr>
                </w:pPr>
                <w:r>
                  <w:rPr>
                    <w:color w:val="2B2A29"/>
                  </w:rPr>
                  <w:t xml:space="preserve"> </w:t>
                </w:r>
                <w:r w:rsidR="00E53539">
                  <w:rPr>
                    <w:color w:val="2B2A29"/>
                    <w:lang/>
                  </w:rPr>
                  <w:t>OECD/LEGAL/0258</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73571" w14:textId="77777777" w:rsidR="0014037A" w:rsidRDefault="00746639">
    <w:pPr>
      <w:pStyle w:val="BodyText"/>
      <w:spacing w:line="14" w:lineRule="auto"/>
    </w:pPr>
    <w:r>
      <w:pict w14:anchorId="67D6D6FA">
        <v:line id="_x0000_s1028" style="position:absolute;z-index:-15973376;mso-position-horizontal-relative:page;mso-position-vertical-relative:page" from="158pt,56.05pt" to="554.1pt,56.05pt" strokecolor="#2a2928" strokeweight=".63pt">
          <w10:wrap anchorx="page" anchory="page"/>
        </v:line>
      </w:pict>
    </w:r>
    <w:r>
      <w:pict w14:anchorId="3802193A">
        <v:shapetype id="_x0000_t202" coordsize="21600,21600" o:spt="202" path="m,l,21600r21600,l21600,xe">
          <v:stroke joinstyle="miter"/>
          <v:path gradientshapeok="t" o:connecttype="rect"/>
        </v:shapetype>
        <v:shape id="_x0000_s1027" type="#_x0000_t202" style="position:absolute;margin-left:41.5pt;margin-top:41.45pt;width:122.15pt;height:16.05pt;z-index:-15972864;mso-position-horizontal-relative:page;mso-position-vertical-relative:page" filled="f" stroked="f">
          <v:textbox inset="0,0,0,0">
            <w:txbxContent>
              <w:p w14:paraId="2D0BFB32" w14:textId="66E97E18" w:rsidR="0014037A" w:rsidRPr="00FF07CF" w:rsidRDefault="00FF07CF">
                <w:pPr>
                  <w:pStyle w:val="BodyText"/>
                  <w:tabs>
                    <w:tab w:val="left" w:pos="586"/>
                  </w:tabs>
                  <w:spacing w:before="18"/>
                  <w:ind w:left="20"/>
                  <w:rPr>
                    <w:lang/>
                  </w:rPr>
                </w:pPr>
                <w:r>
                  <w:rPr>
                    <w:lang/>
                  </w:rPr>
                  <w:t>OECD/LEGAL/0258</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A87F8" w14:textId="77777777" w:rsidR="0014037A" w:rsidRDefault="00746639">
    <w:pPr>
      <w:pStyle w:val="BodyText"/>
      <w:spacing w:line="14" w:lineRule="auto"/>
    </w:pPr>
    <w:r>
      <w:pict w14:anchorId="438E88D5">
        <v:line id="_x0000_s1026" style="position:absolute;z-index:-15972352;mso-position-horizontal-relative:page;mso-position-vertical-relative:page" from="42.5pt,56.05pt" to="438.6pt,56.05pt" strokecolor="#2a2928" strokeweight=".63pt">
          <w10:wrap anchorx="page" anchory="page"/>
        </v:line>
      </w:pict>
    </w:r>
    <w:r>
      <w:pict w14:anchorId="4E242726">
        <v:shapetype id="_x0000_t202" coordsize="21600,21600" o:spt="202" path="m,l,21600r21600,l21600,xe">
          <v:stroke joinstyle="miter"/>
          <v:path gradientshapeok="t" o:connecttype="rect"/>
        </v:shapetype>
        <v:shape id="_x0000_s1025" type="#_x0000_t202" style="position:absolute;margin-left:432.1pt;margin-top:41.45pt;width:126pt;height:16.05pt;z-index:-15971840;mso-position-horizontal-relative:page;mso-position-vertical-relative:page" filled="f" stroked="f">
          <v:textbox inset="0,0,0,0">
            <w:txbxContent>
              <w:p w14:paraId="6D7259FF" w14:textId="221AAE73" w:rsidR="0014037A" w:rsidRPr="00545BFE" w:rsidRDefault="00545BFE">
                <w:pPr>
                  <w:pStyle w:val="BodyText"/>
                  <w:tabs>
                    <w:tab w:val="left" w:pos="2188"/>
                  </w:tabs>
                  <w:spacing w:before="18"/>
                  <w:ind w:left="20"/>
                  <w:rPr>
                    <w:lang/>
                  </w:rPr>
                </w:pPr>
                <w:r>
                  <w:rPr>
                    <w:lang/>
                  </w:rPr>
                  <w:t>OECD/LEGAL/0258</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DE2EB" w14:textId="77777777" w:rsidR="0014037A" w:rsidRDefault="0014037A">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BE6638"/>
    <w:multiLevelType w:val="hybridMultilevel"/>
    <w:tmpl w:val="CF8E2AE6"/>
    <w:lvl w:ilvl="0" w:tplc="C47A38AE">
      <w:start w:val="1"/>
      <w:numFmt w:val="lowerRoman"/>
      <w:lvlText w:val="%1)"/>
      <w:lvlJc w:val="left"/>
      <w:pPr>
        <w:ind w:left="1146" w:hanging="720"/>
      </w:pPr>
      <w:rPr>
        <w:rFonts w:hint="default"/>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1" w15:restartNumberingAfterBreak="0">
    <w:nsid w:val="18453715"/>
    <w:multiLevelType w:val="hybridMultilevel"/>
    <w:tmpl w:val="B3BEF5F8"/>
    <w:lvl w:ilvl="0" w:tplc="85F448C2">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5B25315"/>
    <w:multiLevelType w:val="hybridMultilevel"/>
    <w:tmpl w:val="18586AFC"/>
    <w:lvl w:ilvl="0" w:tplc="B5E6C53A">
      <w:start w:val="1"/>
      <w:numFmt w:val="upperRoman"/>
      <w:lvlText w:val="%1."/>
      <w:lvlJc w:val="left"/>
      <w:pPr>
        <w:ind w:left="836" w:hanging="720"/>
      </w:pPr>
      <w:rPr>
        <w:rFonts w:ascii="Arial" w:eastAsia="Arial" w:hAnsi="Arial" w:cs="Arial" w:hint="default"/>
        <w:b/>
        <w:bCs/>
        <w:spacing w:val="-1"/>
        <w:w w:val="99"/>
        <w:sz w:val="20"/>
        <w:szCs w:val="20"/>
        <w:lang w:val="en-US" w:eastAsia="en-US" w:bidi="ar-SA"/>
      </w:rPr>
    </w:lvl>
    <w:lvl w:ilvl="1" w:tplc="ECB8E3D4">
      <w:start w:val="1"/>
      <w:numFmt w:val="lowerRoman"/>
      <w:lvlText w:val="%2)"/>
      <w:lvlJc w:val="left"/>
      <w:pPr>
        <w:ind w:left="1249" w:hanging="425"/>
      </w:pPr>
      <w:rPr>
        <w:rFonts w:ascii="Arial" w:eastAsia="Arial" w:hAnsi="Arial" w:cs="Arial" w:hint="default"/>
        <w:spacing w:val="-2"/>
        <w:w w:val="99"/>
        <w:sz w:val="20"/>
        <w:szCs w:val="20"/>
        <w:lang w:val="en-US" w:eastAsia="en-US" w:bidi="ar-SA"/>
      </w:rPr>
    </w:lvl>
    <w:lvl w:ilvl="2" w:tplc="F4EEE12C">
      <w:numFmt w:val="bullet"/>
      <w:lvlText w:val=""/>
      <w:lvlJc w:val="left"/>
      <w:pPr>
        <w:ind w:left="1959" w:hanging="358"/>
      </w:pPr>
      <w:rPr>
        <w:rFonts w:ascii="Symbol" w:eastAsia="Symbol" w:hAnsi="Symbol" w:cs="Symbol" w:hint="default"/>
        <w:w w:val="99"/>
        <w:sz w:val="20"/>
        <w:szCs w:val="20"/>
        <w:lang w:val="en-US" w:eastAsia="en-US" w:bidi="ar-SA"/>
      </w:rPr>
    </w:lvl>
    <w:lvl w:ilvl="3" w:tplc="0E983654">
      <w:numFmt w:val="bullet"/>
      <w:lvlText w:val="•"/>
      <w:lvlJc w:val="left"/>
      <w:pPr>
        <w:ind w:left="2878" w:hanging="358"/>
      </w:pPr>
      <w:rPr>
        <w:rFonts w:hint="default"/>
        <w:lang w:val="en-US" w:eastAsia="en-US" w:bidi="ar-SA"/>
      </w:rPr>
    </w:lvl>
    <w:lvl w:ilvl="4" w:tplc="890653E0">
      <w:numFmt w:val="bullet"/>
      <w:lvlText w:val="•"/>
      <w:lvlJc w:val="left"/>
      <w:pPr>
        <w:ind w:left="3796" w:hanging="358"/>
      </w:pPr>
      <w:rPr>
        <w:rFonts w:hint="default"/>
        <w:lang w:val="en-US" w:eastAsia="en-US" w:bidi="ar-SA"/>
      </w:rPr>
    </w:lvl>
    <w:lvl w:ilvl="5" w:tplc="2EA02156">
      <w:numFmt w:val="bullet"/>
      <w:lvlText w:val="•"/>
      <w:lvlJc w:val="left"/>
      <w:pPr>
        <w:ind w:left="4714" w:hanging="358"/>
      </w:pPr>
      <w:rPr>
        <w:rFonts w:hint="default"/>
        <w:lang w:val="en-US" w:eastAsia="en-US" w:bidi="ar-SA"/>
      </w:rPr>
    </w:lvl>
    <w:lvl w:ilvl="6" w:tplc="2A568432">
      <w:numFmt w:val="bullet"/>
      <w:lvlText w:val="•"/>
      <w:lvlJc w:val="left"/>
      <w:pPr>
        <w:ind w:left="5633" w:hanging="358"/>
      </w:pPr>
      <w:rPr>
        <w:rFonts w:hint="default"/>
        <w:lang w:val="en-US" w:eastAsia="en-US" w:bidi="ar-SA"/>
      </w:rPr>
    </w:lvl>
    <w:lvl w:ilvl="7" w:tplc="E18E8EA8">
      <w:numFmt w:val="bullet"/>
      <w:lvlText w:val="•"/>
      <w:lvlJc w:val="left"/>
      <w:pPr>
        <w:ind w:left="6551" w:hanging="358"/>
      </w:pPr>
      <w:rPr>
        <w:rFonts w:hint="default"/>
        <w:lang w:val="en-US" w:eastAsia="en-US" w:bidi="ar-SA"/>
      </w:rPr>
    </w:lvl>
    <w:lvl w:ilvl="8" w:tplc="291A1684">
      <w:numFmt w:val="bullet"/>
      <w:lvlText w:val="•"/>
      <w:lvlJc w:val="left"/>
      <w:pPr>
        <w:ind w:left="7469" w:hanging="358"/>
      </w:pPr>
      <w:rPr>
        <w:rFonts w:hint="default"/>
        <w:lang w:val="en-US" w:eastAsia="en-US" w:bidi="ar-SA"/>
      </w:rPr>
    </w:lvl>
  </w:abstractNum>
  <w:abstractNum w:abstractNumId="3" w15:restartNumberingAfterBreak="0">
    <w:nsid w:val="2A8C6978"/>
    <w:multiLevelType w:val="hybridMultilevel"/>
    <w:tmpl w:val="FEBE5278"/>
    <w:lvl w:ilvl="0" w:tplc="3B768C7A">
      <w:numFmt w:val="bullet"/>
      <w:lvlText w:val=""/>
      <w:lvlJc w:val="left"/>
      <w:pPr>
        <w:ind w:left="1249" w:hanging="425"/>
      </w:pPr>
      <w:rPr>
        <w:rFonts w:ascii="Symbol" w:eastAsia="Symbol" w:hAnsi="Symbol" w:cs="Symbol" w:hint="default"/>
        <w:w w:val="99"/>
        <w:sz w:val="20"/>
        <w:szCs w:val="20"/>
        <w:lang w:val="en-US" w:eastAsia="en-US" w:bidi="ar-SA"/>
      </w:rPr>
    </w:lvl>
    <w:lvl w:ilvl="1" w:tplc="A880E7E6">
      <w:numFmt w:val="bullet"/>
      <w:lvlText w:val="•"/>
      <w:lvlJc w:val="left"/>
      <w:pPr>
        <w:ind w:left="2046" w:hanging="425"/>
      </w:pPr>
      <w:rPr>
        <w:rFonts w:hint="default"/>
        <w:lang w:val="en-US" w:eastAsia="en-US" w:bidi="ar-SA"/>
      </w:rPr>
    </w:lvl>
    <w:lvl w:ilvl="2" w:tplc="F7EE09C4">
      <w:numFmt w:val="bullet"/>
      <w:lvlText w:val="•"/>
      <w:lvlJc w:val="left"/>
      <w:pPr>
        <w:ind w:left="2853" w:hanging="425"/>
      </w:pPr>
      <w:rPr>
        <w:rFonts w:hint="default"/>
        <w:lang w:val="en-US" w:eastAsia="en-US" w:bidi="ar-SA"/>
      </w:rPr>
    </w:lvl>
    <w:lvl w:ilvl="3" w:tplc="F6C6A644">
      <w:numFmt w:val="bullet"/>
      <w:lvlText w:val="•"/>
      <w:lvlJc w:val="left"/>
      <w:pPr>
        <w:ind w:left="3659" w:hanging="425"/>
      </w:pPr>
      <w:rPr>
        <w:rFonts w:hint="default"/>
        <w:lang w:val="en-US" w:eastAsia="en-US" w:bidi="ar-SA"/>
      </w:rPr>
    </w:lvl>
    <w:lvl w:ilvl="4" w:tplc="2AA45580">
      <w:numFmt w:val="bullet"/>
      <w:lvlText w:val="•"/>
      <w:lvlJc w:val="left"/>
      <w:pPr>
        <w:ind w:left="4466" w:hanging="425"/>
      </w:pPr>
      <w:rPr>
        <w:rFonts w:hint="default"/>
        <w:lang w:val="en-US" w:eastAsia="en-US" w:bidi="ar-SA"/>
      </w:rPr>
    </w:lvl>
    <w:lvl w:ilvl="5" w:tplc="A6A0FAEA">
      <w:numFmt w:val="bullet"/>
      <w:lvlText w:val="•"/>
      <w:lvlJc w:val="left"/>
      <w:pPr>
        <w:ind w:left="5273" w:hanging="425"/>
      </w:pPr>
      <w:rPr>
        <w:rFonts w:hint="default"/>
        <w:lang w:val="en-US" w:eastAsia="en-US" w:bidi="ar-SA"/>
      </w:rPr>
    </w:lvl>
    <w:lvl w:ilvl="6" w:tplc="AC8E5C52">
      <w:numFmt w:val="bullet"/>
      <w:lvlText w:val="•"/>
      <w:lvlJc w:val="left"/>
      <w:pPr>
        <w:ind w:left="6079" w:hanging="425"/>
      </w:pPr>
      <w:rPr>
        <w:rFonts w:hint="default"/>
        <w:lang w:val="en-US" w:eastAsia="en-US" w:bidi="ar-SA"/>
      </w:rPr>
    </w:lvl>
    <w:lvl w:ilvl="7" w:tplc="206C17C4">
      <w:numFmt w:val="bullet"/>
      <w:lvlText w:val="•"/>
      <w:lvlJc w:val="left"/>
      <w:pPr>
        <w:ind w:left="6886" w:hanging="425"/>
      </w:pPr>
      <w:rPr>
        <w:rFonts w:hint="default"/>
        <w:lang w:val="en-US" w:eastAsia="en-US" w:bidi="ar-SA"/>
      </w:rPr>
    </w:lvl>
    <w:lvl w:ilvl="8" w:tplc="285CD29C">
      <w:numFmt w:val="bullet"/>
      <w:lvlText w:val="•"/>
      <w:lvlJc w:val="left"/>
      <w:pPr>
        <w:ind w:left="7693" w:hanging="425"/>
      </w:pPr>
      <w:rPr>
        <w:rFonts w:hint="default"/>
        <w:lang w:val="en-US" w:eastAsia="en-US" w:bidi="ar-SA"/>
      </w:rPr>
    </w:lvl>
  </w:abstractNum>
  <w:abstractNum w:abstractNumId="4" w15:restartNumberingAfterBreak="0">
    <w:nsid w:val="34C06B02"/>
    <w:multiLevelType w:val="hybridMultilevel"/>
    <w:tmpl w:val="D0AA845C"/>
    <w:lvl w:ilvl="0" w:tplc="4B86B84A">
      <w:start w:val="8"/>
      <w:numFmt w:val="decimal"/>
      <w:lvlText w:val="%1."/>
      <w:lvlJc w:val="left"/>
      <w:pPr>
        <w:ind w:left="116" w:hanging="720"/>
      </w:pPr>
      <w:rPr>
        <w:rFonts w:ascii="Arial" w:eastAsia="Arial" w:hAnsi="Arial" w:cs="Arial" w:hint="default"/>
        <w:spacing w:val="-1"/>
        <w:w w:val="99"/>
        <w:sz w:val="20"/>
        <w:szCs w:val="20"/>
        <w:lang w:val="en-US" w:eastAsia="en-US" w:bidi="ar-SA"/>
      </w:rPr>
    </w:lvl>
    <w:lvl w:ilvl="1" w:tplc="77DCC11E">
      <w:start w:val="1"/>
      <w:numFmt w:val="lowerRoman"/>
      <w:lvlText w:val="%2)"/>
      <w:lvlJc w:val="left"/>
      <w:pPr>
        <w:ind w:left="1249" w:hanging="425"/>
      </w:pPr>
      <w:rPr>
        <w:rFonts w:ascii="Arial" w:eastAsia="Arial" w:hAnsi="Arial" w:cs="Arial" w:hint="default"/>
        <w:spacing w:val="-2"/>
        <w:w w:val="99"/>
        <w:sz w:val="20"/>
        <w:szCs w:val="20"/>
        <w:lang w:val="en-US" w:eastAsia="en-US" w:bidi="ar-SA"/>
      </w:rPr>
    </w:lvl>
    <w:lvl w:ilvl="2" w:tplc="2A0EA8E0">
      <w:numFmt w:val="bullet"/>
      <w:lvlText w:val="•"/>
      <w:lvlJc w:val="left"/>
      <w:pPr>
        <w:ind w:left="2136" w:hanging="425"/>
      </w:pPr>
      <w:rPr>
        <w:rFonts w:hint="default"/>
        <w:lang w:val="en-US" w:eastAsia="en-US" w:bidi="ar-SA"/>
      </w:rPr>
    </w:lvl>
    <w:lvl w:ilvl="3" w:tplc="1D18766E">
      <w:numFmt w:val="bullet"/>
      <w:lvlText w:val="•"/>
      <w:lvlJc w:val="left"/>
      <w:pPr>
        <w:ind w:left="3032" w:hanging="425"/>
      </w:pPr>
      <w:rPr>
        <w:rFonts w:hint="default"/>
        <w:lang w:val="en-US" w:eastAsia="en-US" w:bidi="ar-SA"/>
      </w:rPr>
    </w:lvl>
    <w:lvl w:ilvl="4" w:tplc="B92AEF04">
      <w:numFmt w:val="bullet"/>
      <w:lvlText w:val="•"/>
      <w:lvlJc w:val="left"/>
      <w:pPr>
        <w:ind w:left="3928" w:hanging="425"/>
      </w:pPr>
      <w:rPr>
        <w:rFonts w:hint="default"/>
        <w:lang w:val="en-US" w:eastAsia="en-US" w:bidi="ar-SA"/>
      </w:rPr>
    </w:lvl>
    <w:lvl w:ilvl="5" w:tplc="EF6A48E0">
      <w:numFmt w:val="bullet"/>
      <w:lvlText w:val="•"/>
      <w:lvlJc w:val="left"/>
      <w:pPr>
        <w:ind w:left="4825" w:hanging="425"/>
      </w:pPr>
      <w:rPr>
        <w:rFonts w:hint="default"/>
        <w:lang w:val="en-US" w:eastAsia="en-US" w:bidi="ar-SA"/>
      </w:rPr>
    </w:lvl>
    <w:lvl w:ilvl="6" w:tplc="3FDC53FA">
      <w:numFmt w:val="bullet"/>
      <w:lvlText w:val="•"/>
      <w:lvlJc w:val="left"/>
      <w:pPr>
        <w:ind w:left="5721" w:hanging="425"/>
      </w:pPr>
      <w:rPr>
        <w:rFonts w:hint="default"/>
        <w:lang w:val="en-US" w:eastAsia="en-US" w:bidi="ar-SA"/>
      </w:rPr>
    </w:lvl>
    <w:lvl w:ilvl="7" w:tplc="146E1CF2">
      <w:numFmt w:val="bullet"/>
      <w:lvlText w:val="•"/>
      <w:lvlJc w:val="left"/>
      <w:pPr>
        <w:ind w:left="6617" w:hanging="425"/>
      </w:pPr>
      <w:rPr>
        <w:rFonts w:hint="default"/>
        <w:lang w:val="en-US" w:eastAsia="en-US" w:bidi="ar-SA"/>
      </w:rPr>
    </w:lvl>
    <w:lvl w:ilvl="8" w:tplc="C822650C">
      <w:numFmt w:val="bullet"/>
      <w:lvlText w:val="•"/>
      <w:lvlJc w:val="left"/>
      <w:pPr>
        <w:ind w:left="7513" w:hanging="425"/>
      </w:pPr>
      <w:rPr>
        <w:rFonts w:hint="default"/>
        <w:lang w:val="en-US" w:eastAsia="en-US" w:bidi="ar-SA"/>
      </w:rPr>
    </w:lvl>
  </w:abstractNum>
  <w:abstractNum w:abstractNumId="5" w15:restartNumberingAfterBreak="0">
    <w:nsid w:val="74B5252B"/>
    <w:multiLevelType w:val="hybridMultilevel"/>
    <w:tmpl w:val="1FAA318C"/>
    <w:lvl w:ilvl="0" w:tplc="28300E58">
      <w:start w:val="1"/>
      <w:numFmt w:val="upperRoman"/>
      <w:lvlText w:val="%1."/>
      <w:lvlJc w:val="left"/>
      <w:pPr>
        <w:ind w:left="836" w:hanging="720"/>
      </w:pPr>
      <w:rPr>
        <w:rFonts w:ascii="Arial" w:eastAsia="Arial" w:hAnsi="Arial" w:cs="Arial" w:hint="default"/>
        <w:b/>
        <w:bCs/>
        <w:spacing w:val="-1"/>
        <w:w w:val="99"/>
        <w:sz w:val="20"/>
        <w:szCs w:val="20"/>
        <w:lang w:val="en-US" w:eastAsia="en-US" w:bidi="ar-SA"/>
      </w:rPr>
    </w:lvl>
    <w:lvl w:ilvl="1" w:tplc="88BE4566">
      <w:start w:val="1"/>
      <w:numFmt w:val="decimal"/>
      <w:lvlText w:val="%2."/>
      <w:lvlJc w:val="left"/>
      <w:pPr>
        <w:ind w:left="116" w:hanging="720"/>
      </w:pPr>
      <w:rPr>
        <w:rFonts w:ascii="Arial" w:eastAsia="Arial" w:hAnsi="Arial" w:cs="Arial" w:hint="default"/>
        <w:spacing w:val="-1"/>
        <w:w w:val="99"/>
        <w:sz w:val="20"/>
        <w:szCs w:val="20"/>
        <w:lang w:val="en-US" w:eastAsia="en-US" w:bidi="ar-SA"/>
      </w:rPr>
    </w:lvl>
    <w:lvl w:ilvl="2" w:tplc="DD70B56A">
      <w:numFmt w:val="bullet"/>
      <w:lvlText w:val="•"/>
      <w:lvlJc w:val="left"/>
      <w:pPr>
        <w:ind w:left="1780" w:hanging="720"/>
      </w:pPr>
      <w:rPr>
        <w:rFonts w:hint="default"/>
        <w:lang w:val="en-US" w:eastAsia="en-US" w:bidi="ar-SA"/>
      </w:rPr>
    </w:lvl>
    <w:lvl w:ilvl="3" w:tplc="4142DCA8">
      <w:numFmt w:val="bullet"/>
      <w:lvlText w:val="•"/>
      <w:lvlJc w:val="left"/>
      <w:pPr>
        <w:ind w:left="2721" w:hanging="720"/>
      </w:pPr>
      <w:rPr>
        <w:rFonts w:hint="default"/>
        <w:lang w:val="en-US" w:eastAsia="en-US" w:bidi="ar-SA"/>
      </w:rPr>
    </w:lvl>
    <w:lvl w:ilvl="4" w:tplc="C140414A">
      <w:numFmt w:val="bullet"/>
      <w:lvlText w:val="•"/>
      <w:lvlJc w:val="left"/>
      <w:pPr>
        <w:ind w:left="3662" w:hanging="720"/>
      </w:pPr>
      <w:rPr>
        <w:rFonts w:hint="default"/>
        <w:lang w:val="en-US" w:eastAsia="en-US" w:bidi="ar-SA"/>
      </w:rPr>
    </w:lvl>
    <w:lvl w:ilvl="5" w:tplc="008695F4">
      <w:numFmt w:val="bullet"/>
      <w:lvlText w:val="•"/>
      <w:lvlJc w:val="left"/>
      <w:pPr>
        <w:ind w:left="4602" w:hanging="720"/>
      </w:pPr>
      <w:rPr>
        <w:rFonts w:hint="default"/>
        <w:lang w:val="en-US" w:eastAsia="en-US" w:bidi="ar-SA"/>
      </w:rPr>
    </w:lvl>
    <w:lvl w:ilvl="6" w:tplc="25241BE2">
      <w:numFmt w:val="bullet"/>
      <w:lvlText w:val="•"/>
      <w:lvlJc w:val="left"/>
      <w:pPr>
        <w:ind w:left="5543" w:hanging="720"/>
      </w:pPr>
      <w:rPr>
        <w:rFonts w:hint="default"/>
        <w:lang w:val="en-US" w:eastAsia="en-US" w:bidi="ar-SA"/>
      </w:rPr>
    </w:lvl>
    <w:lvl w:ilvl="7" w:tplc="23EC56D4">
      <w:numFmt w:val="bullet"/>
      <w:lvlText w:val="•"/>
      <w:lvlJc w:val="left"/>
      <w:pPr>
        <w:ind w:left="6484" w:hanging="720"/>
      </w:pPr>
      <w:rPr>
        <w:rFonts w:hint="default"/>
        <w:lang w:val="en-US" w:eastAsia="en-US" w:bidi="ar-SA"/>
      </w:rPr>
    </w:lvl>
    <w:lvl w:ilvl="8" w:tplc="8B6AFFD6">
      <w:numFmt w:val="bullet"/>
      <w:lvlText w:val="•"/>
      <w:lvlJc w:val="left"/>
      <w:pPr>
        <w:ind w:left="7424" w:hanging="720"/>
      </w:pPr>
      <w:rPr>
        <w:rFonts w:hint="default"/>
        <w:lang w:val="en-US" w:eastAsia="en-US" w:bidi="ar-SA"/>
      </w:rPr>
    </w:lvl>
  </w:abstractNum>
  <w:abstractNum w:abstractNumId="6" w15:restartNumberingAfterBreak="0">
    <w:nsid w:val="7FFD6D2F"/>
    <w:multiLevelType w:val="hybridMultilevel"/>
    <w:tmpl w:val="ECF4D034"/>
    <w:lvl w:ilvl="0" w:tplc="F22E72C4">
      <w:numFmt w:val="bullet"/>
      <w:lvlText w:val="•"/>
      <w:lvlJc w:val="left"/>
      <w:pPr>
        <w:ind w:left="852" w:hanging="711"/>
      </w:pPr>
      <w:rPr>
        <w:rFonts w:ascii="Verdana" w:eastAsia="Verdana" w:hAnsi="Verdana" w:cs="Verdana" w:hint="default"/>
        <w:w w:val="80"/>
        <w:sz w:val="20"/>
        <w:szCs w:val="20"/>
        <w:lang w:val="en-US" w:eastAsia="en-US" w:bidi="ar-SA"/>
      </w:rPr>
    </w:lvl>
    <w:lvl w:ilvl="1" w:tplc="2640BE26">
      <w:numFmt w:val="bullet"/>
      <w:lvlText w:val="•"/>
      <w:lvlJc w:val="left"/>
      <w:pPr>
        <w:ind w:left="1712" w:hanging="711"/>
      </w:pPr>
      <w:rPr>
        <w:rFonts w:hint="default"/>
        <w:lang w:val="en-US" w:eastAsia="en-US" w:bidi="ar-SA"/>
      </w:rPr>
    </w:lvl>
    <w:lvl w:ilvl="2" w:tplc="4D4A9362">
      <w:numFmt w:val="bullet"/>
      <w:lvlText w:val="•"/>
      <w:lvlJc w:val="left"/>
      <w:pPr>
        <w:ind w:left="2564" w:hanging="711"/>
      </w:pPr>
      <w:rPr>
        <w:rFonts w:hint="default"/>
        <w:lang w:val="en-US" w:eastAsia="en-US" w:bidi="ar-SA"/>
      </w:rPr>
    </w:lvl>
    <w:lvl w:ilvl="3" w:tplc="BB8A4AD2">
      <w:numFmt w:val="bullet"/>
      <w:lvlText w:val="•"/>
      <w:lvlJc w:val="left"/>
      <w:pPr>
        <w:ind w:left="3416" w:hanging="711"/>
      </w:pPr>
      <w:rPr>
        <w:rFonts w:hint="default"/>
        <w:lang w:val="en-US" w:eastAsia="en-US" w:bidi="ar-SA"/>
      </w:rPr>
    </w:lvl>
    <w:lvl w:ilvl="4" w:tplc="EE862546">
      <w:numFmt w:val="bullet"/>
      <w:lvlText w:val="•"/>
      <w:lvlJc w:val="left"/>
      <w:pPr>
        <w:ind w:left="4268" w:hanging="711"/>
      </w:pPr>
      <w:rPr>
        <w:rFonts w:hint="default"/>
        <w:lang w:val="en-US" w:eastAsia="en-US" w:bidi="ar-SA"/>
      </w:rPr>
    </w:lvl>
    <w:lvl w:ilvl="5" w:tplc="51627924">
      <w:numFmt w:val="bullet"/>
      <w:lvlText w:val="•"/>
      <w:lvlJc w:val="left"/>
      <w:pPr>
        <w:ind w:left="5120" w:hanging="711"/>
      </w:pPr>
      <w:rPr>
        <w:rFonts w:hint="default"/>
        <w:lang w:val="en-US" w:eastAsia="en-US" w:bidi="ar-SA"/>
      </w:rPr>
    </w:lvl>
    <w:lvl w:ilvl="6" w:tplc="F4981AAE">
      <w:numFmt w:val="bullet"/>
      <w:lvlText w:val="•"/>
      <w:lvlJc w:val="left"/>
      <w:pPr>
        <w:ind w:left="5972" w:hanging="711"/>
      </w:pPr>
      <w:rPr>
        <w:rFonts w:hint="default"/>
        <w:lang w:val="en-US" w:eastAsia="en-US" w:bidi="ar-SA"/>
      </w:rPr>
    </w:lvl>
    <w:lvl w:ilvl="7" w:tplc="01822526">
      <w:numFmt w:val="bullet"/>
      <w:lvlText w:val="•"/>
      <w:lvlJc w:val="left"/>
      <w:pPr>
        <w:ind w:left="6824" w:hanging="711"/>
      </w:pPr>
      <w:rPr>
        <w:rFonts w:hint="default"/>
        <w:lang w:val="en-US" w:eastAsia="en-US" w:bidi="ar-SA"/>
      </w:rPr>
    </w:lvl>
    <w:lvl w:ilvl="8" w:tplc="A80AFD0C">
      <w:numFmt w:val="bullet"/>
      <w:lvlText w:val="•"/>
      <w:lvlJc w:val="left"/>
      <w:pPr>
        <w:ind w:left="7676" w:hanging="711"/>
      </w:pPr>
      <w:rPr>
        <w:rFonts w:hint="default"/>
        <w:lang w:val="en-US" w:eastAsia="en-US" w:bidi="ar-SA"/>
      </w:rPr>
    </w:lvl>
  </w:abstractNum>
  <w:num w:numId="1">
    <w:abstractNumId w:val="6"/>
  </w:num>
  <w:num w:numId="2">
    <w:abstractNumId w:val="3"/>
  </w:num>
  <w:num w:numId="3">
    <w:abstractNumId w:val="4"/>
  </w:num>
  <w:num w:numId="4">
    <w:abstractNumId w:val="5"/>
  </w:num>
  <w:num w:numId="5">
    <w:abstractNumId w:val="2"/>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evenAndOddHeaders/>
  <w:drawingGridHorizontalSpacing w:val="110"/>
  <w:displayHorizontalDrawingGridEvery w:val="2"/>
  <w:characterSpacingControl w:val="doNotCompress"/>
  <w:hdrShapeDefaults>
    <o:shapedefaults v:ext="edit" spidmax="2062"/>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14037A"/>
    <w:rsid w:val="000475B2"/>
    <w:rsid w:val="00060675"/>
    <w:rsid w:val="000F6C0C"/>
    <w:rsid w:val="0014037A"/>
    <w:rsid w:val="001E230B"/>
    <w:rsid w:val="00201C5C"/>
    <w:rsid w:val="00210AF8"/>
    <w:rsid w:val="004242F8"/>
    <w:rsid w:val="00434B26"/>
    <w:rsid w:val="004F1773"/>
    <w:rsid w:val="00543FE5"/>
    <w:rsid w:val="00545BFE"/>
    <w:rsid w:val="00547115"/>
    <w:rsid w:val="00567F94"/>
    <w:rsid w:val="006C7FD0"/>
    <w:rsid w:val="00746639"/>
    <w:rsid w:val="00811780"/>
    <w:rsid w:val="00987D0A"/>
    <w:rsid w:val="00A94C68"/>
    <w:rsid w:val="00B357D8"/>
    <w:rsid w:val="00C524BE"/>
    <w:rsid w:val="00D34A99"/>
    <w:rsid w:val="00E53539"/>
    <w:rsid w:val="00E63C43"/>
    <w:rsid w:val="00F244B1"/>
    <w:rsid w:val="00FD48F4"/>
    <w:rsid w:val="00FF07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48D699B1"/>
  <w15:docId w15:val="{E28B7592-6503-4E7C-B6D8-FB4434111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ind w:left="836" w:hanging="721"/>
      <w:jc w:val="both"/>
      <w:outlineLvl w:val="1"/>
    </w:pPr>
    <w:rPr>
      <w:b/>
      <w:bCs/>
      <w:sz w:val="20"/>
      <w:szCs w:val="20"/>
    </w:rPr>
  </w:style>
  <w:style w:type="paragraph" w:styleId="Heading3">
    <w:name w:val="heading 3"/>
    <w:basedOn w:val="Normal"/>
    <w:uiPriority w:val="9"/>
    <w:unhideWhenUsed/>
    <w:qFormat/>
    <w:pPr>
      <w:ind w:left="116"/>
      <w:outlineLvl w:val="2"/>
    </w:pPr>
    <w:rPr>
      <w:b/>
      <w:bCs/>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0"/>
    <w:qFormat/>
    <w:pPr>
      <w:ind w:left="955" w:hanging="56"/>
    </w:pPr>
    <w:rPr>
      <w:sz w:val="40"/>
      <w:szCs w:val="40"/>
    </w:rPr>
  </w:style>
  <w:style w:type="paragraph" w:styleId="ListParagraph">
    <w:name w:val="List Paragraph"/>
    <w:basedOn w:val="Normal"/>
    <w:uiPriority w:val="1"/>
    <w:qFormat/>
    <w:pPr>
      <w:ind w:left="116" w:right="116"/>
      <w:jc w:val="both"/>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F244B1"/>
    <w:pPr>
      <w:tabs>
        <w:tab w:val="center" w:pos="4513"/>
        <w:tab w:val="right" w:pos="9026"/>
      </w:tabs>
    </w:pPr>
  </w:style>
  <w:style w:type="character" w:customStyle="1" w:styleId="HeaderChar">
    <w:name w:val="Header Char"/>
    <w:basedOn w:val="DefaultParagraphFont"/>
    <w:link w:val="Header"/>
    <w:uiPriority w:val="99"/>
    <w:rsid w:val="00F244B1"/>
    <w:rPr>
      <w:rFonts w:ascii="Arial" w:eastAsia="Arial" w:hAnsi="Arial" w:cs="Arial"/>
    </w:rPr>
  </w:style>
  <w:style w:type="paragraph" w:styleId="Footer">
    <w:name w:val="footer"/>
    <w:basedOn w:val="Normal"/>
    <w:link w:val="FooterChar"/>
    <w:uiPriority w:val="99"/>
    <w:unhideWhenUsed/>
    <w:rsid w:val="00F244B1"/>
    <w:pPr>
      <w:tabs>
        <w:tab w:val="center" w:pos="4513"/>
        <w:tab w:val="right" w:pos="9026"/>
      </w:tabs>
    </w:pPr>
  </w:style>
  <w:style w:type="character" w:customStyle="1" w:styleId="FooterChar">
    <w:name w:val="Footer Char"/>
    <w:basedOn w:val="DefaultParagraphFont"/>
    <w:link w:val="Footer"/>
    <w:uiPriority w:val="99"/>
    <w:rsid w:val="00F244B1"/>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egalinstruments.oecd.org/" TargetMode="External"/><Relationship Id="rId18" Type="http://schemas.openxmlformats.org/officeDocument/2006/relationships/header" Target="header5.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egalinstruments.oecd.org/" TargetMode="Externa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E87518-D3A5-474D-866C-ABF8F3D934F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6E1FB96-322E-49D8-89C4-DBFDEF147BF0}"/>
</file>

<file path=customXml/itemProps3.xml><?xml version="1.0" encoding="utf-8"?>
<ds:datastoreItem xmlns:ds="http://schemas.openxmlformats.org/officeDocument/2006/customXml" ds:itemID="{93E78F04-898E-499E-8104-8A4383BBB5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15</Pages>
  <Words>6670</Words>
  <Characters>38019</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Kristina T</cp:lastModifiedBy>
  <cp:revision>23</cp:revision>
  <dcterms:created xsi:type="dcterms:W3CDTF">2022-01-19T08:30:00Z</dcterms:created>
  <dcterms:modified xsi:type="dcterms:W3CDTF">2022-01-31T08:37:00Z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ies>
</file>